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A7CE2" w14:textId="77777777" w:rsidR="00B330AA" w:rsidRPr="00155DEE" w:rsidRDefault="00B330AA" w:rsidP="00B330AA">
      <w:pPr>
        <w:pStyle w:val="Puesto"/>
        <w:rPr>
          <w:sz w:val="32"/>
          <w:szCs w:val="32"/>
          <w:lang w:val="en-US"/>
        </w:rPr>
      </w:pPr>
      <w:r w:rsidRPr="00155DEE">
        <w:rPr>
          <w:sz w:val="32"/>
          <w:szCs w:val="32"/>
          <w:lang w:val="en-US"/>
        </w:rPr>
        <w:t xml:space="preserve">Model for Evaluating CO2 Emissions and the </w:t>
      </w:r>
    </w:p>
    <w:p w14:paraId="3DC59077" w14:textId="77777777" w:rsidR="00904D6D" w:rsidRPr="00155DEE" w:rsidRDefault="00B330AA" w:rsidP="00B330AA">
      <w:pPr>
        <w:pStyle w:val="Puesto"/>
        <w:rPr>
          <w:sz w:val="32"/>
          <w:szCs w:val="32"/>
          <w:lang w:val="en-US"/>
        </w:rPr>
      </w:pPr>
      <w:r w:rsidRPr="00155DEE">
        <w:rPr>
          <w:sz w:val="32"/>
          <w:szCs w:val="32"/>
          <w:lang w:val="en-US"/>
        </w:rPr>
        <w:t>Projection of the Transport Sector</w:t>
      </w:r>
    </w:p>
    <w:p w14:paraId="5F43FF11" w14:textId="77777777" w:rsidR="00250A66" w:rsidRPr="003D5B84" w:rsidRDefault="00250A66" w:rsidP="00904D6D">
      <w:pPr>
        <w:jc w:val="center"/>
        <w:rPr>
          <w:b/>
          <w:bCs/>
        </w:rPr>
      </w:pPr>
    </w:p>
    <w:p w14:paraId="4E9D2736" w14:textId="77777777" w:rsidR="00B330AA" w:rsidRPr="00155DEE" w:rsidRDefault="00B330AA" w:rsidP="00904D6D">
      <w:pPr>
        <w:jc w:val="center"/>
        <w:rPr>
          <w:b/>
          <w:bCs/>
        </w:rPr>
      </w:pPr>
      <w:r>
        <w:rPr>
          <w:b/>
          <w:bCs/>
          <w:lang w:val="id-ID"/>
        </w:rPr>
        <w:t>Daniel Ospina*</w:t>
      </w:r>
      <w:r w:rsidR="00E759C8">
        <w:rPr>
          <w:b/>
          <w:bCs/>
          <w:lang w:val="id-ID"/>
        </w:rPr>
        <w:t>,</w:t>
      </w:r>
      <w:r>
        <w:rPr>
          <w:b/>
          <w:bCs/>
          <w:lang w:val="id-ID"/>
        </w:rPr>
        <w:t xml:space="preserve"> Sebastián Zapata**, Mónica Castañeda*, Isaac Dyner*, </w:t>
      </w:r>
      <w:r w:rsidR="005E0429" w:rsidRPr="00155DEE">
        <w:rPr>
          <w:b/>
          <w:bCs/>
        </w:rPr>
        <w:t>A</w:t>
      </w:r>
      <w:r w:rsidRPr="00155DEE">
        <w:rPr>
          <w:b/>
          <w:bCs/>
        </w:rPr>
        <w:t xml:space="preserve">ndrés Julián Aristizábal*, </w:t>
      </w:r>
    </w:p>
    <w:p w14:paraId="7DF61C01" w14:textId="77777777" w:rsidR="00904D6D" w:rsidRPr="00D74C5F" w:rsidRDefault="00B330AA" w:rsidP="00904D6D">
      <w:pPr>
        <w:jc w:val="center"/>
        <w:rPr>
          <w:b/>
          <w:bCs/>
        </w:rPr>
      </w:pPr>
      <w:r w:rsidRPr="00155DEE">
        <w:rPr>
          <w:b/>
          <w:bCs/>
        </w:rPr>
        <w:t>Nicolas Escalante***</w:t>
      </w:r>
    </w:p>
    <w:p w14:paraId="659D46F3" w14:textId="77777777" w:rsidR="00A17296" w:rsidRDefault="00E2599A" w:rsidP="00E2599A">
      <w:pPr>
        <w:jc w:val="center"/>
        <w:rPr>
          <w:sz w:val="18"/>
          <w:szCs w:val="18"/>
        </w:rPr>
      </w:pPr>
      <w:r>
        <w:rPr>
          <w:sz w:val="18"/>
          <w:szCs w:val="18"/>
        </w:rPr>
        <w:t xml:space="preserve"> </w:t>
      </w:r>
      <w:r w:rsidR="00B330AA">
        <w:rPr>
          <w:sz w:val="18"/>
          <w:szCs w:val="18"/>
        </w:rPr>
        <w:t>*</w:t>
      </w:r>
      <w:r w:rsidR="005E0429">
        <w:rPr>
          <w:sz w:val="18"/>
          <w:szCs w:val="18"/>
        </w:rPr>
        <w:t>Engineering Department, Universidad de Bogotá Jorge Tadeo Lozano</w:t>
      </w:r>
    </w:p>
    <w:p w14:paraId="5DB7CA64" w14:textId="77777777" w:rsidR="00B330AA" w:rsidRDefault="00B330AA" w:rsidP="00E2599A">
      <w:pPr>
        <w:jc w:val="center"/>
        <w:rPr>
          <w:sz w:val="18"/>
          <w:szCs w:val="18"/>
        </w:rPr>
      </w:pPr>
      <w:r>
        <w:rPr>
          <w:sz w:val="18"/>
          <w:szCs w:val="18"/>
        </w:rPr>
        <w:t>**Department of Computer Science and Decision, Universidad Nacional de Colombia</w:t>
      </w:r>
    </w:p>
    <w:p w14:paraId="6EDC50AB" w14:textId="77777777" w:rsidR="00B330AA" w:rsidRDefault="00B330AA" w:rsidP="00E2599A">
      <w:pPr>
        <w:jc w:val="center"/>
        <w:rPr>
          <w:sz w:val="18"/>
          <w:szCs w:val="18"/>
        </w:rPr>
      </w:pPr>
      <w:r>
        <w:rPr>
          <w:sz w:val="18"/>
          <w:szCs w:val="18"/>
        </w:rPr>
        <w:t>***</w:t>
      </w:r>
      <w:r w:rsidR="00F252D5">
        <w:rPr>
          <w:sz w:val="18"/>
          <w:szCs w:val="18"/>
        </w:rPr>
        <w:t>Institute of Sanitary Engineering, University of Stuttgart</w:t>
      </w:r>
    </w:p>
    <w:p w14:paraId="150F9102" w14:textId="77777777" w:rsidR="00904D6D" w:rsidRDefault="00904D6D" w:rsidP="0088233C">
      <w:pPr>
        <w:jc w:val="center"/>
      </w:pPr>
    </w:p>
    <w:p w14:paraId="113AA7F6" w14:textId="77777777" w:rsidR="00C07BEF" w:rsidRDefault="00C07BEF" w:rsidP="0088233C">
      <w:pPr>
        <w:jc w:val="center"/>
      </w:pPr>
    </w:p>
    <w:tbl>
      <w:tblPr>
        <w:tblStyle w:val="Tablaconcuadrcula"/>
        <w:tblW w:w="8897" w:type="dxa"/>
        <w:tblLook w:val="04A0" w:firstRow="1" w:lastRow="0" w:firstColumn="1" w:lastColumn="0" w:noHBand="0" w:noVBand="1"/>
      </w:tblPr>
      <w:tblGrid>
        <w:gridCol w:w="2802"/>
        <w:gridCol w:w="283"/>
        <w:gridCol w:w="5812"/>
      </w:tblGrid>
      <w:tr w:rsidR="006B027E" w14:paraId="1D70BE53" w14:textId="77777777" w:rsidTr="00C07BEF">
        <w:tc>
          <w:tcPr>
            <w:tcW w:w="2802" w:type="dxa"/>
            <w:tcBorders>
              <w:top w:val="double" w:sz="4" w:space="0" w:color="auto"/>
              <w:left w:val="nil"/>
              <w:bottom w:val="single" w:sz="4" w:space="0" w:color="auto"/>
              <w:right w:val="nil"/>
            </w:tcBorders>
          </w:tcPr>
          <w:p w14:paraId="124A3E9E"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4550FA5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4EA14F6C" w14:textId="77777777"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1B1F0276" w14:textId="77777777" w:rsidTr="00C07BEF">
        <w:trPr>
          <w:trHeight w:val="1268"/>
        </w:trPr>
        <w:tc>
          <w:tcPr>
            <w:tcW w:w="2802" w:type="dxa"/>
            <w:tcBorders>
              <w:top w:val="single" w:sz="4" w:space="0" w:color="auto"/>
              <w:left w:val="nil"/>
              <w:bottom w:val="single" w:sz="4" w:space="0" w:color="auto"/>
              <w:right w:val="nil"/>
            </w:tcBorders>
          </w:tcPr>
          <w:p w14:paraId="094232B3" w14:textId="77777777" w:rsidR="00941203" w:rsidRPr="007F286F" w:rsidRDefault="00941203" w:rsidP="00941203">
            <w:pPr>
              <w:spacing w:before="120" w:after="120"/>
              <w:jc w:val="both"/>
              <w:rPr>
                <w:b/>
                <w:i/>
              </w:rPr>
            </w:pPr>
            <w:r w:rsidRPr="007F286F">
              <w:rPr>
                <w:b/>
                <w:i/>
              </w:rPr>
              <w:t>Article history:</w:t>
            </w:r>
          </w:p>
          <w:p w14:paraId="4B9FA783" w14:textId="77777777" w:rsidR="00941203" w:rsidRDefault="00941203" w:rsidP="00957C11">
            <w:pPr>
              <w:jc w:val="both"/>
            </w:pPr>
            <w:r w:rsidRPr="00957C11">
              <w:t>Received</w:t>
            </w:r>
            <w:r>
              <w:t xml:space="preserve"> Jun 12</w:t>
            </w:r>
            <w:r w:rsidRPr="00957C11">
              <w:rPr>
                <w:vertAlign w:val="superscript"/>
              </w:rPr>
              <w:t>th</w:t>
            </w:r>
            <w:r>
              <w:t>, 201x</w:t>
            </w:r>
          </w:p>
          <w:p w14:paraId="46EA260E" w14:textId="77777777" w:rsidR="00941203" w:rsidRDefault="00941203" w:rsidP="00957C11">
            <w:pPr>
              <w:jc w:val="both"/>
            </w:pPr>
            <w:r>
              <w:t>Revised Aug 20</w:t>
            </w:r>
            <w:r w:rsidRPr="00957C11">
              <w:rPr>
                <w:vertAlign w:val="superscript"/>
              </w:rPr>
              <w:t>th</w:t>
            </w:r>
            <w:r>
              <w:t>, 201x</w:t>
            </w:r>
          </w:p>
          <w:p w14:paraId="1FC2BC48" w14:textId="77777777" w:rsidR="00941203" w:rsidRDefault="00941203" w:rsidP="00957C11">
            <w:pPr>
              <w:jc w:val="both"/>
            </w:pPr>
            <w:r>
              <w:t>Accepted Aug 26</w:t>
            </w:r>
            <w:r w:rsidRPr="00957C11">
              <w:rPr>
                <w:vertAlign w:val="superscript"/>
              </w:rPr>
              <w:t>th</w:t>
            </w:r>
            <w:r>
              <w:t>, 201x</w:t>
            </w:r>
          </w:p>
          <w:p w14:paraId="0CBDDDCB" w14:textId="77777777" w:rsidR="00941203" w:rsidRPr="00957C11" w:rsidRDefault="00941203" w:rsidP="00941203">
            <w:pPr>
              <w:jc w:val="both"/>
            </w:pPr>
          </w:p>
        </w:tc>
        <w:tc>
          <w:tcPr>
            <w:tcW w:w="283" w:type="dxa"/>
            <w:vMerge w:val="restart"/>
            <w:tcBorders>
              <w:top w:val="nil"/>
              <w:left w:val="nil"/>
              <w:bottom w:val="nil"/>
              <w:right w:val="nil"/>
            </w:tcBorders>
          </w:tcPr>
          <w:p w14:paraId="6AF25AB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E8FBBA8" w14:textId="0C7A3A0A" w:rsidR="00941203" w:rsidRPr="00675F2A" w:rsidRDefault="00581C44" w:rsidP="00675F2A">
            <w:pPr>
              <w:spacing w:before="120"/>
              <w:jc w:val="both"/>
              <w:rPr>
                <w:iCs/>
                <w:color w:val="000000"/>
                <w:sz w:val="18"/>
                <w:szCs w:val="18"/>
              </w:rPr>
            </w:pPr>
            <w:r w:rsidRPr="00581C44">
              <w:rPr>
                <w:iCs/>
                <w:color w:val="000000"/>
                <w:sz w:val="18"/>
                <w:szCs w:val="18"/>
              </w:rPr>
              <w:t xml:space="preserve">This article presents a system dynamics model to analyze the growth of cars and the effect of different policies on carbon emissions from the transport sector. </w:t>
            </w:r>
            <w:r w:rsidR="00675F2A" w:rsidRPr="00675F2A">
              <w:rPr>
                <w:iCs/>
                <w:color w:val="000000"/>
                <w:sz w:val="18"/>
                <w:szCs w:val="18"/>
              </w:rPr>
              <w:t>The simulation model used in this work was built using the methodology of systems dynamics (SD</w:t>
            </w:r>
            <w:r w:rsidR="00675F2A">
              <w:rPr>
                <w:iCs/>
                <w:color w:val="000000"/>
                <w:sz w:val="18"/>
                <w:szCs w:val="18"/>
              </w:rPr>
              <w:t xml:space="preserve">) </w:t>
            </w:r>
            <w:r w:rsidR="00675F2A" w:rsidRPr="00675F2A">
              <w:rPr>
                <w:iCs/>
                <w:color w:val="000000"/>
                <w:sz w:val="18"/>
                <w:szCs w:val="18"/>
              </w:rPr>
              <w:t>developed by Jay W. Forrester at the Massachusetts Institute of Technology (MIT)</w:t>
            </w:r>
            <w:r w:rsidR="00675F2A">
              <w:rPr>
                <w:iCs/>
                <w:color w:val="000000"/>
                <w:sz w:val="18"/>
                <w:szCs w:val="18"/>
              </w:rPr>
              <w:t xml:space="preserve">. </w:t>
            </w:r>
            <w:r w:rsidRPr="00581C44">
              <w:rPr>
                <w:iCs/>
                <w:color w:val="000000"/>
                <w:sz w:val="18"/>
                <w:szCs w:val="18"/>
              </w:rPr>
              <w:t>The model was applied to the transport sector of the city of Bogota, Colombia for a period of time between 2005 and 2050.</w:t>
            </w:r>
            <w:r w:rsidR="00675F2A">
              <w:rPr>
                <w:b/>
              </w:rPr>
              <w:t xml:space="preserve"> </w:t>
            </w:r>
            <w:r w:rsidR="00675F2A" w:rsidRPr="00675F2A">
              <w:rPr>
                <w:iCs/>
                <w:color w:val="000000"/>
                <w:sz w:val="18"/>
                <w:szCs w:val="18"/>
              </w:rPr>
              <w:t>The information used to feed the model comes from reliable sources such as DANE (National Administrative Department of Statistics) and EIA (U.S Ene</w:t>
            </w:r>
            <w:r w:rsidR="00675F2A">
              <w:rPr>
                <w:iCs/>
                <w:color w:val="000000"/>
                <w:sz w:val="18"/>
                <w:szCs w:val="18"/>
              </w:rPr>
              <w:t>rgy Information Administration)</w:t>
            </w:r>
            <w:r w:rsidR="00675F2A" w:rsidRPr="00675F2A">
              <w:rPr>
                <w:iCs/>
                <w:color w:val="000000"/>
                <w:sz w:val="18"/>
                <w:szCs w:val="18"/>
              </w:rPr>
              <w:t>.</w:t>
            </w:r>
            <w:r w:rsidR="00675F2A">
              <w:rPr>
                <w:lang w:val="en"/>
              </w:rPr>
              <w:t xml:space="preserve"> </w:t>
            </w:r>
            <w:r w:rsidRPr="00581C44">
              <w:rPr>
                <w:iCs/>
                <w:color w:val="000000"/>
                <w:sz w:val="18"/>
                <w:szCs w:val="18"/>
              </w:rPr>
              <w:t>Four scenarios were proposed that relate urban development policy and environmental policy. The main results indicate that the number of cars in Bogota can reach up to 13 million vehicles in 2050 and the projection of CO2 emissions would reach 34 million TonCO2 in the absence of an appropriate environmental policy.</w:t>
            </w:r>
          </w:p>
        </w:tc>
      </w:tr>
      <w:tr w:rsidR="00941203" w14:paraId="6A3893E1" w14:textId="77777777" w:rsidTr="00C07BEF">
        <w:trPr>
          <w:trHeight w:val="1231"/>
        </w:trPr>
        <w:tc>
          <w:tcPr>
            <w:tcW w:w="2802" w:type="dxa"/>
            <w:vMerge w:val="restart"/>
            <w:tcBorders>
              <w:top w:val="single" w:sz="4" w:space="0" w:color="auto"/>
              <w:left w:val="nil"/>
              <w:bottom w:val="single" w:sz="4" w:space="0" w:color="auto"/>
              <w:right w:val="nil"/>
            </w:tcBorders>
          </w:tcPr>
          <w:p w14:paraId="0FAE2809" w14:textId="77777777" w:rsidR="00941203" w:rsidRPr="007F286F" w:rsidRDefault="00941203" w:rsidP="00941203">
            <w:pPr>
              <w:spacing w:before="120" w:after="120"/>
              <w:jc w:val="both"/>
              <w:rPr>
                <w:b/>
                <w:i/>
              </w:rPr>
            </w:pPr>
            <w:r w:rsidRPr="007F286F">
              <w:rPr>
                <w:b/>
                <w:i/>
              </w:rPr>
              <w:t>Keyword:</w:t>
            </w:r>
          </w:p>
          <w:p w14:paraId="27429978" w14:textId="018C2860" w:rsidR="00941203" w:rsidRDefault="00EE3ADC" w:rsidP="00941203">
            <w:pPr>
              <w:jc w:val="both"/>
            </w:pPr>
            <w:r>
              <w:t>Transport sector</w:t>
            </w:r>
            <w:r w:rsidR="00442CDB">
              <w:t xml:space="preserve"> model</w:t>
            </w:r>
          </w:p>
          <w:p w14:paraId="41064CE9" w14:textId="01053D2B" w:rsidR="00941203" w:rsidRDefault="00EE3ADC" w:rsidP="00941203">
            <w:pPr>
              <w:jc w:val="both"/>
            </w:pPr>
            <w:r>
              <w:t>Transport simulation</w:t>
            </w:r>
          </w:p>
          <w:p w14:paraId="29C168F4" w14:textId="745301A7" w:rsidR="00941203" w:rsidRDefault="00EE3ADC" w:rsidP="00941203">
            <w:pPr>
              <w:jc w:val="both"/>
            </w:pPr>
            <w:r>
              <w:t>CO2 emissions</w:t>
            </w:r>
          </w:p>
          <w:p w14:paraId="7BE4181A" w14:textId="76ABEC46" w:rsidR="00941203" w:rsidRDefault="00EE3ADC" w:rsidP="00941203">
            <w:pPr>
              <w:jc w:val="both"/>
            </w:pPr>
            <w:r>
              <w:t>Software tools</w:t>
            </w:r>
          </w:p>
          <w:p w14:paraId="1B8AC339" w14:textId="35702691" w:rsidR="00675F2A" w:rsidRDefault="00675F2A" w:rsidP="00941203">
            <w:pPr>
              <w:jc w:val="both"/>
            </w:pPr>
            <w:r>
              <w:t>Systems dynamics</w:t>
            </w:r>
          </w:p>
          <w:p w14:paraId="787D97E0" w14:textId="3C942C5F" w:rsidR="00941203" w:rsidRPr="007F286F" w:rsidRDefault="00941203" w:rsidP="00941203">
            <w:pPr>
              <w:jc w:val="both"/>
              <w:rPr>
                <w:b/>
                <w:i/>
              </w:rPr>
            </w:pPr>
          </w:p>
        </w:tc>
        <w:tc>
          <w:tcPr>
            <w:tcW w:w="283" w:type="dxa"/>
            <w:vMerge/>
            <w:tcBorders>
              <w:top w:val="nil"/>
              <w:left w:val="nil"/>
              <w:bottom w:val="nil"/>
              <w:right w:val="nil"/>
            </w:tcBorders>
          </w:tcPr>
          <w:p w14:paraId="05386517" w14:textId="77777777" w:rsidR="00941203" w:rsidRDefault="00941203" w:rsidP="00957C11">
            <w:pPr>
              <w:spacing w:before="120"/>
              <w:jc w:val="both"/>
            </w:pPr>
          </w:p>
        </w:tc>
        <w:tc>
          <w:tcPr>
            <w:tcW w:w="5812" w:type="dxa"/>
            <w:vMerge/>
            <w:tcBorders>
              <w:top w:val="nil"/>
              <w:left w:val="nil"/>
              <w:bottom w:val="nil"/>
              <w:right w:val="nil"/>
            </w:tcBorders>
          </w:tcPr>
          <w:p w14:paraId="5F8AC872" w14:textId="77777777" w:rsidR="00941203" w:rsidRPr="00957C11" w:rsidRDefault="00941203" w:rsidP="00957C11">
            <w:pPr>
              <w:spacing w:before="120"/>
              <w:jc w:val="both"/>
              <w:rPr>
                <w:iCs/>
                <w:color w:val="000000"/>
                <w:sz w:val="18"/>
                <w:szCs w:val="18"/>
              </w:rPr>
            </w:pPr>
          </w:p>
        </w:tc>
      </w:tr>
      <w:tr w:rsidR="00941203" w14:paraId="13BD162A" w14:textId="77777777" w:rsidTr="00C07BEF">
        <w:trPr>
          <w:trHeight w:val="70"/>
        </w:trPr>
        <w:tc>
          <w:tcPr>
            <w:tcW w:w="2802" w:type="dxa"/>
            <w:vMerge/>
            <w:tcBorders>
              <w:top w:val="single" w:sz="4" w:space="0" w:color="auto"/>
              <w:left w:val="nil"/>
              <w:bottom w:val="single" w:sz="4" w:space="0" w:color="auto"/>
              <w:right w:val="nil"/>
            </w:tcBorders>
          </w:tcPr>
          <w:p w14:paraId="178E101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00CAED4" w14:textId="77777777" w:rsidR="00941203" w:rsidRDefault="00941203" w:rsidP="00957C11">
            <w:pPr>
              <w:spacing w:before="120"/>
              <w:jc w:val="both"/>
            </w:pPr>
          </w:p>
        </w:tc>
        <w:tc>
          <w:tcPr>
            <w:tcW w:w="5812" w:type="dxa"/>
            <w:tcBorders>
              <w:top w:val="nil"/>
              <w:left w:val="nil"/>
              <w:bottom w:val="single" w:sz="4" w:space="0" w:color="auto"/>
              <w:right w:val="nil"/>
            </w:tcBorders>
          </w:tcPr>
          <w:p w14:paraId="419BDEBF" w14:textId="77777777"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RPr="00155DEE" w14:paraId="41ADE778" w14:textId="77777777" w:rsidTr="00C07BEF">
        <w:tc>
          <w:tcPr>
            <w:tcW w:w="8897" w:type="dxa"/>
            <w:gridSpan w:val="3"/>
            <w:tcBorders>
              <w:top w:val="nil"/>
              <w:left w:val="nil"/>
              <w:bottom w:val="double" w:sz="4" w:space="0" w:color="auto"/>
              <w:right w:val="nil"/>
            </w:tcBorders>
          </w:tcPr>
          <w:p w14:paraId="5807F564" w14:textId="77777777" w:rsidR="007F286F" w:rsidRPr="007F286F" w:rsidRDefault="007F286F" w:rsidP="00941203">
            <w:pPr>
              <w:spacing w:before="120" w:after="120"/>
              <w:rPr>
                <w:b/>
                <w:i/>
              </w:rPr>
            </w:pPr>
            <w:r w:rsidRPr="007F286F">
              <w:rPr>
                <w:b/>
                <w:i/>
              </w:rPr>
              <w:t>Corresponding Author:</w:t>
            </w:r>
          </w:p>
          <w:p w14:paraId="445DD6A5" w14:textId="77777777" w:rsidR="007F286F" w:rsidRDefault="006E3646" w:rsidP="007F286F">
            <w:r>
              <w:t>Andrés Julián Aristizábal Cardona</w:t>
            </w:r>
            <w:r w:rsidR="007F286F">
              <w:t xml:space="preserve">, </w:t>
            </w:r>
          </w:p>
          <w:p w14:paraId="5F003F32" w14:textId="77777777" w:rsidR="007F286F" w:rsidRDefault="007F286F" w:rsidP="007F286F">
            <w:r>
              <w:t>Engineering</w:t>
            </w:r>
            <w:r w:rsidR="006E3646">
              <w:t xml:space="preserve"> Department</w:t>
            </w:r>
            <w:r w:rsidR="00941203">
              <w:t>,</w:t>
            </w:r>
          </w:p>
          <w:p w14:paraId="27855767" w14:textId="77777777" w:rsidR="007F286F" w:rsidRPr="00155DEE" w:rsidRDefault="006E3646" w:rsidP="007F286F">
            <w:pPr>
              <w:rPr>
                <w:lang w:val="es-CO"/>
              </w:rPr>
            </w:pPr>
            <w:r w:rsidRPr="00155DEE">
              <w:rPr>
                <w:lang w:val="es-CO"/>
              </w:rPr>
              <w:t>Universidad de Bogotá Jorge Tadeo Lozano</w:t>
            </w:r>
            <w:r w:rsidR="00941203" w:rsidRPr="00155DEE">
              <w:rPr>
                <w:lang w:val="es-CO"/>
              </w:rPr>
              <w:t>,</w:t>
            </w:r>
          </w:p>
          <w:p w14:paraId="4176D605" w14:textId="77777777" w:rsidR="007F286F" w:rsidRPr="00155DEE" w:rsidRDefault="006E3646" w:rsidP="007F286F">
            <w:pPr>
              <w:rPr>
                <w:lang w:val="es-CO"/>
              </w:rPr>
            </w:pPr>
            <w:r w:rsidRPr="00155DEE">
              <w:rPr>
                <w:lang w:val="es-CO"/>
              </w:rPr>
              <w:t>Carrera 4 #22-61,</w:t>
            </w:r>
            <w:r w:rsidR="007F286F" w:rsidRPr="00155DEE">
              <w:rPr>
                <w:lang w:val="es-CO"/>
              </w:rPr>
              <w:t xml:space="preserve"> </w:t>
            </w:r>
            <w:r w:rsidRPr="00155DEE">
              <w:rPr>
                <w:lang w:val="es-CO"/>
              </w:rPr>
              <w:t>Bogotá, Colombia</w:t>
            </w:r>
            <w:r w:rsidR="00941203" w:rsidRPr="00155DEE">
              <w:rPr>
                <w:lang w:val="es-CO"/>
              </w:rPr>
              <w:t>.</w:t>
            </w:r>
          </w:p>
          <w:p w14:paraId="06FD6239" w14:textId="77777777" w:rsidR="00941203" w:rsidRPr="00155DEE" w:rsidRDefault="006E3646" w:rsidP="006B027E">
            <w:pPr>
              <w:spacing w:after="120"/>
              <w:rPr>
                <w:color w:val="000000"/>
                <w:sz w:val="18"/>
                <w:szCs w:val="18"/>
                <w:lang w:val="es-CO"/>
              </w:rPr>
            </w:pPr>
            <w:r w:rsidRPr="00155DEE">
              <w:rPr>
                <w:lang w:val="es-CO"/>
              </w:rPr>
              <w:t>Email: andresj.aristizabalc@utadeo.edu.co</w:t>
            </w:r>
          </w:p>
        </w:tc>
      </w:tr>
    </w:tbl>
    <w:p w14:paraId="4795BA5D" w14:textId="77777777" w:rsidR="00C07BEF" w:rsidRPr="00155DEE" w:rsidRDefault="00C07BEF" w:rsidP="00957C11">
      <w:pPr>
        <w:jc w:val="both"/>
        <w:rPr>
          <w:lang w:val="es-CO"/>
        </w:rPr>
      </w:pPr>
    </w:p>
    <w:p w14:paraId="561B5E78"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1E21A1">
        <w:rPr>
          <w:b/>
          <w:bCs/>
        </w:rPr>
        <w:t xml:space="preserve"> </w:t>
      </w:r>
    </w:p>
    <w:p w14:paraId="0E6FA95D" w14:textId="34DEEF05" w:rsidR="00E6745D" w:rsidRPr="00E6745D" w:rsidRDefault="00E6745D" w:rsidP="00E6745D">
      <w:pPr>
        <w:pStyle w:val="Text"/>
        <w:ind w:firstLine="709"/>
        <w:rPr>
          <w:rFonts w:eastAsia="Times New Roman"/>
          <w:lang w:eastAsia="en-US"/>
        </w:rPr>
      </w:pPr>
      <w:r w:rsidRPr="00E6745D">
        <w:rPr>
          <w:rFonts w:eastAsia="Times New Roman"/>
          <w:lang w:eastAsia="en-US"/>
        </w:rPr>
        <w:t>Transport plays an important role in the social and economic development of a country. But on the other hand, in relation to the environment it is a source of emissions, noise and vibration and causes risks to health and safety [1].</w:t>
      </w:r>
    </w:p>
    <w:p w14:paraId="6CC1209C" w14:textId="5E96D736" w:rsidR="00E6745D" w:rsidRPr="00E6745D" w:rsidRDefault="00E6745D" w:rsidP="00E6745D">
      <w:pPr>
        <w:pStyle w:val="Text"/>
        <w:ind w:firstLine="709"/>
        <w:rPr>
          <w:rFonts w:eastAsia="Times New Roman"/>
          <w:lang w:eastAsia="en-US"/>
        </w:rPr>
      </w:pPr>
      <w:r w:rsidRPr="00E6745D">
        <w:rPr>
          <w:rFonts w:eastAsia="Times New Roman"/>
          <w:lang w:eastAsia="en-US"/>
        </w:rPr>
        <w:t>As the sector with the highest oil consumption and the fastest oil demand and carbon emissions growth, transport needs to improve energy efficiency and the development of low carbon technologies [2].</w:t>
      </w:r>
    </w:p>
    <w:p w14:paraId="480CF9FB" w14:textId="5BCB0FD4" w:rsidR="00E6745D" w:rsidRDefault="00E6745D" w:rsidP="00E6745D">
      <w:pPr>
        <w:pStyle w:val="Text"/>
        <w:ind w:firstLine="709"/>
        <w:rPr>
          <w:rFonts w:eastAsia="Times New Roman"/>
          <w:lang w:eastAsia="en-US"/>
        </w:rPr>
      </w:pPr>
      <w:r w:rsidRPr="00E6745D">
        <w:rPr>
          <w:rFonts w:eastAsia="Times New Roman"/>
          <w:lang w:eastAsia="en-US"/>
        </w:rPr>
        <w:t>Transport allows great advantages to people in terms of commuting, but also consumes a large amount of energy and emits great amounts of greenhouse gases (GHGs) and pollutants. Because cities are the centers of human transport, urban transport has become the sector with the highest energy consumption and GHG emissions generation [3]. The United Nations reported that a fifth of the world's population lives in 600 cities in the world. It is expected that the population of cities in developing countries will double by 2030 and that their energy consumption will represent 60% to 80% of the total world energy consumption. Thus, GHG emissions will represent 70% of the total human GHG emissions with main emission sources concentrated in fossil fuels for energy supply and the transport sector [4].</w:t>
      </w:r>
    </w:p>
    <w:p w14:paraId="7435169E" w14:textId="77777777" w:rsidR="00E6745D" w:rsidRPr="00E0212A" w:rsidRDefault="00E6745D" w:rsidP="00E6745D">
      <w:pPr>
        <w:ind w:firstLine="709"/>
        <w:jc w:val="both"/>
      </w:pPr>
      <w:r w:rsidRPr="00E0212A">
        <w:t xml:space="preserve">Many academics have carried out studies to predict energy demand and carbon emissions. According to the different research objectives, these can be divided into three categories [4]: ​​First, there are predictions of energy consumption and carbon emissions at the global, regional and national levels, as is the case with the annual global energy and carbon emissions of the International Energy Agency (IEA) [5]. Second, there are predictions of energy consumption and carbon emissions in specific sectors of different regions in certain countries [6-8]. In this sense, [9] combines the time-heat-power optimization model and the </w:t>
      </w:r>
      <w:r w:rsidRPr="00E0212A">
        <w:lastRenderedPageBreak/>
        <w:t xml:space="preserve">optimization model of a decentralized energy system to forecast energy consumption in the construction sector in Germany. In [10] the historical trend of the energy demand of road transport in developed economies is analyzed and the trajectory analysis method and the BMA model (Bayesian Model Averaging) were applied to analyze the energy demand of road transport. In [11] Autoregressive–moving-average model (ARMA) was used to forecast the energy demand and environmental emissions of India's iron manufacturing industry. </w:t>
      </w:r>
      <w:r>
        <w:t xml:space="preserve"> </w:t>
      </w:r>
      <w:r w:rsidRPr="00C61AA0">
        <w:t>In [12] a linear logarithmic equation was applied to explain the relationship between carbon dioxide emissions and their influence factors, to forecast the CO2 emissions of China's electric power industry during the 2016-2030 period under different scenarios. Third, there are predictions of specific kinds of energy at different scales. For example, in [13] China's demand for natural gas is predicted during the period 2015-2020 using</w:t>
      </w:r>
      <w:r>
        <w:t xml:space="preserve"> a </w:t>
      </w:r>
      <w:r w:rsidRPr="00C61AA0">
        <w:t>self-adapting intelligent grey</w:t>
      </w:r>
      <w:r>
        <w:t xml:space="preserve"> prediction</w:t>
      </w:r>
      <w:r w:rsidRPr="00C61AA0">
        <w:t xml:space="preserve"> model. In [14] the future evolution of the energy structure of Brazil is analyzed and the demand and supply of power is predicted to 2030.</w:t>
      </w:r>
      <w:r w:rsidRPr="00E0212A">
        <w:t xml:space="preserve">   </w:t>
      </w:r>
    </w:p>
    <w:p w14:paraId="17B8FB03" w14:textId="33B1B38B" w:rsidR="00E6745D" w:rsidRPr="00E6745D" w:rsidRDefault="00E6745D" w:rsidP="00E6745D">
      <w:pPr>
        <w:pStyle w:val="Text"/>
        <w:ind w:firstLine="709"/>
        <w:rPr>
          <w:rFonts w:eastAsia="Times New Roman"/>
          <w:lang w:eastAsia="en-US"/>
        </w:rPr>
      </w:pPr>
      <w:r w:rsidRPr="00E0212A">
        <w:t xml:space="preserve"> </w:t>
      </w:r>
      <w:r w:rsidRPr="00C61AA0">
        <w:rPr>
          <w:lang w:val="en"/>
        </w:rPr>
        <w:t>There are researches that apply different methods and models [15-25] to evaluate the demand and energy consumption of the transport sector of different cities and countries. The methodologies allow predicting future transport emissions as well as energy demand under different possible scenarios. This paper presents a model of systems dynamics using different scenarios to analyze two</w:t>
      </w:r>
      <w:r>
        <w:rPr>
          <w:lang w:val="en"/>
        </w:rPr>
        <w:t xml:space="preserve"> variables of the transport</w:t>
      </w:r>
      <w:r w:rsidRPr="00C61AA0">
        <w:rPr>
          <w:lang w:val="en"/>
        </w:rPr>
        <w:t xml:space="preserve"> sector of the city of </w:t>
      </w:r>
      <w:r>
        <w:rPr>
          <w:lang w:val="en"/>
        </w:rPr>
        <w:t>Bogota</w:t>
      </w:r>
      <w:r w:rsidRPr="00C61AA0">
        <w:rPr>
          <w:lang w:val="en"/>
        </w:rPr>
        <w:t>: automotive fleet growth and emissions generation.</w:t>
      </w:r>
    </w:p>
    <w:p w14:paraId="51FF9AA4" w14:textId="77777777" w:rsidR="0010046E" w:rsidRPr="003D5B84" w:rsidRDefault="0010046E" w:rsidP="0010046E">
      <w:pPr>
        <w:jc w:val="both"/>
      </w:pPr>
    </w:p>
    <w:p w14:paraId="55DC6F00" w14:textId="09A273C6" w:rsidR="00904D6D" w:rsidRPr="003D5B84" w:rsidRDefault="00834291" w:rsidP="00D74C5F">
      <w:pPr>
        <w:numPr>
          <w:ilvl w:val="0"/>
          <w:numId w:val="15"/>
        </w:numPr>
        <w:tabs>
          <w:tab w:val="left" w:pos="426"/>
        </w:tabs>
        <w:ind w:left="426" w:hanging="426"/>
        <w:rPr>
          <w:b/>
          <w:bCs/>
          <w:lang w:val="id-ID"/>
        </w:rPr>
      </w:pPr>
      <w:r>
        <w:rPr>
          <w:b/>
          <w:bCs/>
          <w:lang w:val="id-ID"/>
        </w:rPr>
        <w:t>MODEL DESCRIPTION</w:t>
      </w:r>
    </w:p>
    <w:p w14:paraId="792C9351" w14:textId="77777777" w:rsidR="0049758A" w:rsidRPr="0049758A" w:rsidRDefault="0049758A" w:rsidP="0049758A">
      <w:pPr>
        <w:ind w:firstLine="709"/>
        <w:jc w:val="both"/>
        <w:rPr>
          <w:lang w:val="en"/>
        </w:rPr>
      </w:pPr>
      <w:r w:rsidRPr="0049758A">
        <w:rPr>
          <w:lang w:val="en"/>
        </w:rPr>
        <w:t>The simulation model used in this work was built using the methodology of systems dynamics (SD), this methodology was developed by Jay W. Forrester at the Massachusetts Institute of Technology (MIT) around the year 1950, SD is a tool that employs a system of differential equations that allows to establish and understand the behavior of complex systems in order to propose future scenarios and make decisions [26].</w:t>
      </w:r>
    </w:p>
    <w:p w14:paraId="3E1C7F3D" w14:textId="16001562" w:rsidR="0049758A" w:rsidRPr="0049758A" w:rsidRDefault="0049758A" w:rsidP="0049758A">
      <w:pPr>
        <w:ind w:firstLine="709"/>
        <w:jc w:val="both"/>
        <w:rPr>
          <w:lang w:val="en"/>
        </w:rPr>
      </w:pPr>
      <w:r w:rsidRPr="0049758A">
        <w:rPr>
          <w:lang w:val="en"/>
        </w:rPr>
        <w:t>SD is appropriate for modeling social systems under conditions of uncertainty and imbalance [27]. Cities are social systems that present such conditions, since they face uncertainty associated with urban growth and regulatory interventions at the environmental level [27]. Consequently, the SD is an adequate tool to analyze the effect of this uncertainty on the cycles of growth and planning in the long term. In particular, the simulation model proposed constitutes a laboratory for policy analysis, since it studies how urban growth and the transport sector react to policy changes [26], [28].</w:t>
      </w:r>
    </w:p>
    <w:p w14:paraId="664A27E4" w14:textId="79FDFC55" w:rsidR="0049758A" w:rsidRPr="00E0212A" w:rsidRDefault="0049758A" w:rsidP="0049758A">
      <w:pPr>
        <w:ind w:firstLine="709"/>
        <w:jc w:val="both"/>
      </w:pPr>
      <w:r w:rsidRPr="0049758A">
        <w:rPr>
          <w:lang w:val="en"/>
        </w:rPr>
        <w:t>The problem of emissions generation of the transport sector can be seen as a diagram of subsystems. The diagrams of subsystems facilitate the definition of the limits and aggregation degree of the model, by allowing to define the structure of the model as a whole composed by modules, where each module represents a physical or conceptual unit relevant for decision making [26].</w:t>
      </w:r>
    </w:p>
    <w:p w14:paraId="7519A27E" w14:textId="5E0B82CB" w:rsidR="0049758A" w:rsidRDefault="0049758A" w:rsidP="0049758A">
      <w:pPr>
        <w:ind w:firstLine="709"/>
        <w:jc w:val="both"/>
      </w:pPr>
      <w:r>
        <w:t>Next, the modules shown in Figure</w:t>
      </w:r>
      <w:r w:rsidRPr="005B326B">
        <w:t xml:space="preserve"> 1 are described. </w:t>
      </w:r>
    </w:p>
    <w:p w14:paraId="6C1840E0" w14:textId="77777777" w:rsidR="0049758A" w:rsidRDefault="0049758A" w:rsidP="0049758A">
      <w:pPr>
        <w:ind w:firstLine="709"/>
        <w:jc w:val="both"/>
      </w:pPr>
    </w:p>
    <w:p w14:paraId="2D2D3581" w14:textId="77777777" w:rsidR="0049758A" w:rsidRDefault="0049758A" w:rsidP="0049758A">
      <w:pPr>
        <w:jc w:val="center"/>
        <w:rPr>
          <w:lang w:val="es-CO"/>
        </w:rPr>
      </w:pPr>
      <w:r>
        <w:rPr>
          <w:noProof/>
          <w:lang w:val="es-CO" w:eastAsia="es-CO"/>
        </w:rPr>
        <w:drawing>
          <wp:inline distT="0" distB="0" distL="0" distR="0" wp14:anchorId="1BA8F37A" wp14:editId="3B91505C">
            <wp:extent cx="3188335" cy="2913380"/>
            <wp:effectExtent l="0" t="0" r="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335" cy="2913380"/>
                    </a:xfrm>
                    <a:prstGeom prst="rect">
                      <a:avLst/>
                    </a:prstGeom>
                    <a:noFill/>
                    <a:ln>
                      <a:noFill/>
                    </a:ln>
                  </pic:spPr>
                </pic:pic>
              </a:graphicData>
            </a:graphic>
          </wp:inline>
        </w:drawing>
      </w:r>
    </w:p>
    <w:p w14:paraId="3A6A50C2" w14:textId="77777777" w:rsidR="0049758A" w:rsidRPr="0049758A" w:rsidRDefault="0049758A" w:rsidP="0049758A">
      <w:pPr>
        <w:jc w:val="center"/>
      </w:pPr>
      <w:r w:rsidRPr="006D2BF4">
        <w:rPr>
          <w:sz w:val="16"/>
          <w:szCs w:val="16"/>
        </w:rPr>
        <w:br/>
      </w:r>
      <w:r w:rsidRPr="0049758A">
        <w:t>Figure 1. Structure of the simulation model represented in a subsystem diagram.</w:t>
      </w:r>
    </w:p>
    <w:p w14:paraId="797DCDFA" w14:textId="77777777" w:rsidR="0049758A" w:rsidRDefault="0049758A" w:rsidP="0049758A">
      <w:pPr>
        <w:jc w:val="center"/>
      </w:pPr>
    </w:p>
    <w:p w14:paraId="45E942C6" w14:textId="737BB694" w:rsidR="0049758A" w:rsidRDefault="0049758A" w:rsidP="00D94CEF">
      <w:pPr>
        <w:ind w:firstLine="709"/>
        <w:jc w:val="both"/>
      </w:pPr>
      <w:r w:rsidRPr="005B326B">
        <w:t>The population module depends on the entry (immigration, births) and departure (deaths, migration) of the population. The vehicle</w:t>
      </w:r>
      <w:r>
        <w:t>s</w:t>
      </w:r>
      <w:r w:rsidRPr="005B326B">
        <w:t xml:space="preserve"> module depends on the number of passengers and the number of trips they </w:t>
      </w:r>
      <w:r w:rsidRPr="005B326B">
        <w:lastRenderedPageBreak/>
        <w:t>make. The emissions module depends on the total number of trips and the type of vehicle in which these trips are made, since each type of vehicle has a different emission factor. Finally, the passenger</w:t>
      </w:r>
      <w:r>
        <w:t>’s</w:t>
      </w:r>
      <w:r w:rsidRPr="005B326B">
        <w:t xml:space="preserve"> module depends on the amount of population that is mobilized and the number of trips made during the year.</w:t>
      </w:r>
    </w:p>
    <w:p w14:paraId="550EA93B" w14:textId="2F2FE59B" w:rsidR="00BB154D" w:rsidRPr="00E0212A" w:rsidRDefault="00BB154D" w:rsidP="00BB154D">
      <w:pPr>
        <w:ind w:firstLine="709"/>
        <w:jc w:val="both"/>
      </w:pPr>
      <w:r w:rsidRPr="006D2BF4">
        <w:t xml:space="preserve">The </w:t>
      </w:r>
      <w:r>
        <w:t xml:space="preserve">stocks and flows </w:t>
      </w:r>
      <w:r w:rsidRPr="006D2BF4">
        <w:t xml:space="preserve">diagram </w:t>
      </w:r>
      <w:r>
        <w:t>of the model is presented in Figure</w:t>
      </w:r>
      <w:r w:rsidRPr="006D2BF4">
        <w:t xml:space="preserve"> 2, which also shows an over</w:t>
      </w:r>
      <w:r>
        <w:t>view of the feedback loops. Following</w:t>
      </w:r>
      <w:r w:rsidRPr="006D2BF4">
        <w:t xml:space="preserve">, the investment cycles B1, B2, </w:t>
      </w:r>
      <w:r>
        <w:t>R1 and R2</w:t>
      </w:r>
      <w:r w:rsidRPr="006D2BF4">
        <w:t xml:space="preserve"> will be described.</w:t>
      </w:r>
    </w:p>
    <w:p w14:paraId="2E7F178C" w14:textId="77777777" w:rsidR="00BB154D" w:rsidRPr="00E0212A" w:rsidRDefault="00BB154D" w:rsidP="00BB154D">
      <w:pPr>
        <w:jc w:val="both"/>
      </w:pPr>
    </w:p>
    <w:p w14:paraId="5CB72AE7" w14:textId="77777777" w:rsidR="00BB154D" w:rsidRDefault="00BB154D" w:rsidP="00BB154D">
      <w:pPr>
        <w:jc w:val="center"/>
        <w:rPr>
          <w:lang w:val="es-CO"/>
        </w:rPr>
      </w:pPr>
      <w:r>
        <w:rPr>
          <w:noProof/>
          <w:lang w:val="es-CO" w:eastAsia="es-CO"/>
        </w:rPr>
        <w:drawing>
          <wp:inline distT="0" distB="0" distL="0" distR="0" wp14:anchorId="6D5A4198" wp14:editId="6A386740">
            <wp:extent cx="5499073" cy="3681730"/>
            <wp:effectExtent l="0" t="0" r="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0138" cy="3682443"/>
                    </a:xfrm>
                    <a:prstGeom prst="rect">
                      <a:avLst/>
                    </a:prstGeom>
                    <a:noFill/>
                    <a:ln>
                      <a:noFill/>
                    </a:ln>
                  </pic:spPr>
                </pic:pic>
              </a:graphicData>
            </a:graphic>
          </wp:inline>
        </w:drawing>
      </w:r>
    </w:p>
    <w:p w14:paraId="79F5BFF9" w14:textId="77777777" w:rsidR="00BB154D" w:rsidRPr="00BB154D" w:rsidRDefault="00BB154D" w:rsidP="00BB154D">
      <w:pPr>
        <w:jc w:val="center"/>
      </w:pPr>
      <w:r w:rsidRPr="00BB154D">
        <w:t>Figure 2. Stocks and flows diagram.</w:t>
      </w:r>
    </w:p>
    <w:p w14:paraId="63D2AE6A" w14:textId="77777777" w:rsidR="00BB154D" w:rsidRPr="00E0212A" w:rsidRDefault="00BB154D" w:rsidP="00BB154D">
      <w:pPr>
        <w:jc w:val="center"/>
      </w:pPr>
    </w:p>
    <w:p w14:paraId="2479F532" w14:textId="77777777" w:rsidR="00BB154D" w:rsidRPr="001E4E42" w:rsidRDefault="00BB154D" w:rsidP="00281891">
      <w:pPr>
        <w:ind w:firstLine="709"/>
        <w:jc w:val="both"/>
        <w:rPr>
          <w:lang w:val="en"/>
        </w:rPr>
      </w:pPr>
      <w:r w:rsidRPr="00E0212A">
        <w:t xml:space="preserve">    </w:t>
      </w:r>
      <w:r w:rsidRPr="001E4E42">
        <w:rPr>
          <w:lang w:val="en"/>
        </w:rPr>
        <w:t>The cycle of private vehicles B1 shows the behavior of the purchase of these vehicles. An increase in the number of private vehicles will produce an increase in traffic density, which in turn makes the purchase of private vehicles less attractive. This last effect will produce a reduction in the purchase of private vehicles.</w:t>
      </w:r>
    </w:p>
    <w:p w14:paraId="75C04D16" w14:textId="57297149" w:rsidR="00BB154D" w:rsidRDefault="00BB154D" w:rsidP="00281891">
      <w:pPr>
        <w:ind w:firstLine="709"/>
        <w:jc w:val="both"/>
        <w:rPr>
          <w:lang w:val="en"/>
        </w:rPr>
      </w:pPr>
      <w:r w:rsidRPr="001E4E42">
        <w:rPr>
          <w:lang w:val="en"/>
        </w:rPr>
        <w:t>Cycles R1, R2 and B2 correspond to the purchase of vehicles for public transport. In cycle R1, an increase in the number of public transport vehicles generates a greater sense of comfort among users (this is represented by the variable "demand vehicle effect"), which in turn increases the journeys of people and therefore the number of vehicles required. This last effect increases the purchase of public transport vehicles. In cycle R2, an increase in the number of public transport vehicles generates a higher density of traffic, which increases the trips of people and therefore the number of vehicles required, the latter effect increases the purcha</w:t>
      </w:r>
      <w:r>
        <w:rPr>
          <w:lang w:val="en"/>
        </w:rPr>
        <w:t>se of public transport vehicles</w:t>
      </w:r>
      <w:r w:rsidRPr="001E4E42">
        <w:rPr>
          <w:lang w:val="en"/>
        </w:rPr>
        <w:t>. In cycle B2, an increase in the number of public transport vehicles reduces the number of vehicles required, which reduces the purchase of public transport vehicles. The main equations of th</w:t>
      </w:r>
      <w:r w:rsidR="00BF0E7C">
        <w:rPr>
          <w:lang w:val="en"/>
        </w:rPr>
        <w:t>e model are described in Table 1</w:t>
      </w:r>
      <w:r w:rsidRPr="001E4E42">
        <w:rPr>
          <w:lang w:val="en"/>
        </w:rPr>
        <w:t>.</w:t>
      </w:r>
    </w:p>
    <w:p w14:paraId="5B0D99C9" w14:textId="77777777" w:rsidR="00BF0E7C" w:rsidRDefault="00BF0E7C" w:rsidP="00281891">
      <w:pPr>
        <w:ind w:firstLine="709"/>
        <w:jc w:val="both"/>
        <w:rPr>
          <w:lang w:val="en"/>
        </w:rPr>
      </w:pPr>
    </w:p>
    <w:p w14:paraId="1D086E0C" w14:textId="498167D2" w:rsidR="00BF0E7C" w:rsidRPr="00BF0E7C" w:rsidRDefault="00BF0E7C" w:rsidP="00BF0E7C">
      <w:pPr>
        <w:pStyle w:val="TableTitle"/>
        <w:rPr>
          <w:smallCaps w:val="0"/>
          <w:sz w:val="20"/>
          <w:szCs w:val="20"/>
          <w:lang w:val="en"/>
        </w:rPr>
      </w:pPr>
      <w:r>
        <w:rPr>
          <w:smallCaps w:val="0"/>
          <w:sz w:val="20"/>
          <w:szCs w:val="20"/>
          <w:lang w:val="en"/>
        </w:rPr>
        <w:t xml:space="preserve">Table 1. Equations of the </w:t>
      </w:r>
      <w:proofErr w:type="spellStart"/>
      <w:r>
        <w:rPr>
          <w:smallCaps w:val="0"/>
          <w:sz w:val="20"/>
          <w:szCs w:val="20"/>
          <w:lang w:val="en"/>
        </w:rPr>
        <w:t>siulation</w:t>
      </w:r>
      <w:proofErr w:type="spellEnd"/>
      <w:r>
        <w:rPr>
          <w:smallCaps w:val="0"/>
          <w:sz w:val="20"/>
          <w:szCs w:val="20"/>
          <w:lang w:val="en"/>
        </w:rPr>
        <w:t xml:space="preserve"> model.</w:t>
      </w:r>
    </w:p>
    <w:p w14:paraId="6772765C" w14:textId="6B8E3483" w:rsidR="00BF0E7C" w:rsidRPr="006E1F40" w:rsidRDefault="00BF0E7C" w:rsidP="00BF0E7C">
      <w:pPr>
        <w:pStyle w:val="TableTitle"/>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454"/>
      </w:tblGrid>
      <w:tr w:rsidR="00BF0E7C" w:rsidRPr="008E32DB" w14:paraId="05F0EA34" w14:textId="77777777" w:rsidTr="00BF0E7C">
        <w:tc>
          <w:tcPr>
            <w:tcW w:w="6374" w:type="dxa"/>
            <w:tcBorders>
              <w:top w:val="single" w:sz="4" w:space="0" w:color="auto"/>
              <w:bottom w:val="single" w:sz="4" w:space="0" w:color="auto"/>
            </w:tcBorders>
          </w:tcPr>
          <w:p w14:paraId="2D338383" w14:textId="77777777" w:rsidR="00BF0E7C" w:rsidRPr="0050765F" w:rsidRDefault="00BF0E7C" w:rsidP="00BF0E7C">
            <w:pPr>
              <w:jc w:val="center"/>
              <w:rPr>
                <w:b/>
                <w:sz w:val="16"/>
                <w:szCs w:val="16"/>
                <w:lang w:val="es-CO"/>
              </w:rPr>
            </w:pPr>
            <w:proofErr w:type="spellStart"/>
            <w:r w:rsidRPr="0050765F">
              <w:rPr>
                <w:b/>
                <w:sz w:val="16"/>
                <w:szCs w:val="16"/>
                <w:lang w:val="es-CO"/>
              </w:rPr>
              <w:t>Equation</w:t>
            </w:r>
            <w:proofErr w:type="spellEnd"/>
          </w:p>
        </w:tc>
        <w:tc>
          <w:tcPr>
            <w:tcW w:w="2454" w:type="dxa"/>
            <w:tcBorders>
              <w:top w:val="single" w:sz="4" w:space="0" w:color="auto"/>
              <w:bottom w:val="single" w:sz="4" w:space="0" w:color="auto"/>
            </w:tcBorders>
          </w:tcPr>
          <w:p w14:paraId="2C48F522" w14:textId="77777777" w:rsidR="00BF0E7C" w:rsidRPr="0050765F" w:rsidRDefault="00BF0E7C" w:rsidP="00BF0E7C">
            <w:pPr>
              <w:jc w:val="center"/>
              <w:rPr>
                <w:b/>
                <w:sz w:val="16"/>
                <w:szCs w:val="16"/>
                <w:lang w:val="es-CO"/>
              </w:rPr>
            </w:pPr>
            <w:proofErr w:type="spellStart"/>
            <w:r w:rsidRPr="0050765F">
              <w:rPr>
                <w:b/>
                <w:sz w:val="16"/>
                <w:szCs w:val="16"/>
                <w:lang w:val="es-CO"/>
              </w:rPr>
              <w:t>Units</w:t>
            </w:r>
            <w:proofErr w:type="spellEnd"/>
          </w:p>
        </w:tc>
      </w:tr>
      <w:tr w:rsidR="00BF0E7C" w:rsidRPr="008E32DB" w14:paraId="1C63B899" w14:textId="77777777" w:rsidTr="00BF0E7C">
        <w:tc>
          <w:tcPr>
            <w:tcW w:w="6374" w:type="dxa"/>
            <w:tcBorders>
              <w:top w:val="single" w:sz="4" w:space="0" w:color="auto"/>
            </w:tcBorders>
          </w:tcPr>
          <w:p w14:paraId="06557FFF" w14:textId="77777777" w:rsidR="00BF0E7C" w:rsidRPr="008E32DB" w:rsidRDefault="00155DEE" w:rsidP="00BF0E7C">
            <w:pPr>
              <w:jc w:val="center"/>
              <w:rPr>
                <w:rFonts w:eastAsiaTheme="minorEastAsia"/>
                <w:sz w:val="16"/>
                <w:szCs w:val="16"/>
              </w:rPr>
            </w:pPr>
            <m:oMath>
              <m:nary>
                <m:naryPr>
                  <m:chr m:val="∑"/>
                  <m:limLoc m:val="undOvr"/>
                  <m:ctrlPr>
                    <w:rPr>
                      <w:rFonts w:ascii="Cambria Math" w:hAnsi="Cambria Math"/>
                      <w:i/>
                      <w:sz w:val="16"/>
                      <w:szCs w:val="16"/>
                      <w:lang w:val="es-CO"/>
                    </w:rPr>
                  </m:ctrlPr>
                </m:naryPr>
                <m:sub>
                  <m:r>
                    <w:rPr>
                      <w:rFonts w:ascii="Cambria Math" w:hAnsi="Cambria Math"/>
                      <w:sz w:val="16"/>
                      <w:szCs w:val="16"/>
                      <w:lang w:val="es-CO"/>
                    </w:rPr>
                    <m:t>i</m:t>
                  </m:r>
                  <m:r>
                    <w:rPr>
                      <w:rFonts w:ascii="Cambria Math" w:hAnsi="Cambria Math"/>
                      <w:sz w:val="16"/>
                      <w:szCs w:val="16"/>
                    </w:rPr>
                    <m:t>=0</m:t>
                  </m:r>
                </m:sub>
                <m:sup>
                  <m:r>
                    <w:rPr>
                      <w:rFonts w:ascii="Cambria Math" w:hAnsi="Cambria Math"/>
                      <w:sz w:val="16"/>
                      <w:szCs w:val="16"/>
                      <w:lang w:val="es-CO"/>
                    </w:rPr>
                    <m:t>N</m:t>
                  </m:r>
                </m:sup>
                <m:e>
                  <m:sSub>
                    <m:sSubPr>
                      <m:ctrlPr>
                        <w:rPr>
                          <w:rFonts w:ascii="Cambria Math" w:hAnsi="Cambria Math"/>
                          <w:i/>
                          <w:sz w:val="16"/>
                          <w:szCs w:val="16"/>
                          <w:lang w:val="es-CO"/>
                        </w:rPr>
                      </m:ctrlPr>
                    </m:sSubPr>
                    <m:e>
                      <m:r>
                        <w:rPr>
                          <w:rFonts w:ascii="Cambria Math" w:hAnsi="Cambria Math"/>
                          <w:sz w:val="16"/>
                          <w:szCs w:val="16"/>
                          <w:lang w:val="es-CO"/>
                        </w:rPr>
                        <m:t>fe</m:t>
                      </m:r>
                    </m:e>
                    <m:sub>
                      <m:r>
                        <w:rPr>
                          <w:rFonts w:ascii="Cambria Math" w:hAnsi="Cambria Math"/>
                          <w:sz w:val="16"/>
                          <w:szCs w:val="16"/>
                          <w:lang w:val="es-CO"/>
                        </w:rPr>
                        <m:t>i</m:t>
                      </m:r>
                    </m:sub>
                  </m:sSub>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sSub>
                    <m:sSubPr>
                      <m:ctrlPr>
                        <w:rPr>
                          <w:rFonts w:ascii="Cambria Math" w:hAnsi="Cambria Math"/>
                          <w:i/>
                          <w:sz w:val="16"/>
                          <w:szCs w:val="16"/>
                          <w:lang w:val="es-CO"/>
                        </w:rPr>
                      </m:ctrlPr>
                    </m:sSubPr>
                    <m:e>
                      <m:r>
                        <w:rPr>
                          <w:rFonts w:ascii="Cambria Math" w:hAnsi="Cambria Math"/>
                          <w:sz w:val="16"/>
                          <w:szCs w:val="16"/>
                          <w:lang w:val="es-CO"/>
                        </w:rPr>
                        <m:t>DT</m:t>
                      </m:r>
                    </m:e>
                    <m:sub>
                      <m:r>
                        <w:rPr>
                          <w:rFonts w:ascii="Cambria Math" w:hAnsi="Cambria Math"/>
                          <w:sz w:val="16"/>
                          <w:szCs w:val="16"/>
                          <w:lang w:val="es-CO"/>
                        </w:rPr>
                        <m:t>i</m:t>
                      </m:r>
                    </m:sub>
                  </m:sSub>
                  <m:r>
                    <w:rPr>
                      <w:rFonts w:ascii="Cambria Math" w:hAnsi="Cambria Math"/>
                      <w:sz w:val="16"/>
                      <w:szCs w:val="16"/>
                    </w:rPr>
                    <m:t>(</m:t>
                  </m:r>
                  <m:r>
                    <w:rPr>
                      <w:rFonts w:ascii="Cambria Math" w:hAnsi="Cambria Math"/>
                      <w:sz w:val="16"/>
                      <w:szCs w:val="16"/>
                      <w:lang w:val="es-CO"/>
                    </w:rPr>
                    <m:t>t</m:t>
                  </m:r>
                  <m:r>
                    <w:rPr>
                      <w:rFonts w:ascii="Cambria Math" w:hAnsi="Cambria Math"/>
                      <w:sz w:val="16"/>
                      <w:szCs w:val="16"/>
                    </w:rPr>
                    <m:t>)</m:t>
                  </m:r>
                </m:e>
              </m:nary>
            </m:oMath>
            <w:r w:rsidR="00BF0E7C" w:rsidRPr="008E32DB">
              <w:rPr>
                <w:rFonts w:eastAsiaTheme="minorEastAsia"/>
                <w:sz w:val="16"/>
                <w:szCs w:val="16"/>
              </w:rPr>
              <w:t xml:space="preserve">   (1)</w:t>
            </w:r>
          </w:p>
          <w:p w14:paraId="191C0878" w14:textId="77777777" w:rsidR="00BF0E7C" w:rsidRPr="00E0212A" w:rsidRDefault="00BF0E7C" w:rsidP="00BF0E7C">
            <w:pPr>
              <w:jc w:val="both"/>
              <w:rPr>
                <w:rFonts w:eastAsiaTheme="minorEastAsia"/>
                <w:sz w:val="16"/>
                <w:szCs w:val="16"/>
              </w:rPr>
            </w:pPr>
            <w:r w:rsidRPr="00E0212A">
              <w:rPr>
                <w:rFonts w:eastAsiaTheme="minorEastAsia"/>
                <w:sz w:val="16"/>
                <w:szCs w:val="16"/>
              </w:rPr>
              <w:t>The emissions of the transport sector depend on the distance traveled by type of technology (DT) and the emission factor of each technology (</w:t>
            </w:r>
            <w:proofErr w:type="spellStart"/>
            <w:r w:rsidRPr="00E0212A">
              <w:rPr>
                <w:rFonts w:eastAsiaTheme="minorEastAsia"/>
                <w:sz w:val="16"/>
                <w:szCs w:val="16"/>
              </w:rPr>
              <w:t>fe</w:t>
            </w:r>
            <w:proofErr w:type="spellEnd"/>
            <w:r w:rsidRPr="00E0212A">
              <w:rPr>
                <w:rFonts w:eastAsiaTheme="minorEastAsia"/>
                <w:sz w:val="16"/>
                <w:szCs w:val="16"/>
              </w:rPr>
              <w:t>).</w:t>
            </w:r>
          </w:p>
          <w:p w14:paraId="637DAB39" w14:textId="77777777" w:rsidR="00BF0E7C" w:rsidRPr="00E0212A" w:rsidRDefault="00BF0E7C" w:rsidP="00BF0E7C">
            <w:pPr>
              <w:jc w:val="center"/>
              <w:rPr>
                <w:sz w:val="16"/>
                <w:szCs w:val="16"/>
              </w:rPr>
            </w:pPr>
          </w:p>
        </w:tc>
        <w:tc>
          <w:tcPr>
            <w:tcW w:w="2454" w:type="dxa"/>
            <w:tcBorders>
              <w:top w:val="single" w:sz="4" w:space="0" w:color="auto"/>
            </w:tcBorders>
            <w:vAlign w:val="center"/>
          </w:tcPr>
          <w:p w14:paraId="671E9C6C" w14:textId="77777777" w:rsidR="00BF0E7C" w:rsidRPr="008E32DB" w:rsidRDefault="00BF0E7C" w:rsidP="00BF0E7C">
            <w:pPr>
              <w:jc w:val="center"/>
              <w:rPr>
                <w:sz w:val="16"/>
                <w:szCs w:val="16"/>
                <w:lang w:val="es-CO"/>
              </w:rPr>
            </w:pPr>
            <w:proofErr w:type="spellStart"/>
            <w:r>
              <w:rPr>
                <w:rFonts w:eastAsiaTheme="minorEastAsia"/>
                <w:sz w:val="16"/>
                <w:szCs w:val="16"/>
                <w:lang w:val="es-CO"/>
              </w:rPr>
              <w:t>Million</w:t>
            </w:r>
            <w:proofErr w:type="spellEnd"/>
            <w:r>
              <w:rPr>
                <w:rFonts w:eastAsiaTheme="minorEastAsia"/>
                <w:sz w:val="16"/>
                <w:szCs w:val="16"/>
                <w:lang w:val="es-CO"/>
              </w:rPr>
              <w:t xml:space="preserve"> </w:t>
            </w:r>
            <w:proofErr w:type="spellStart"/>
            <w:r>
              <w:rPr>
                <w:rFonts w:eastAsiaTheme="minorEastAsia"/>
                <w:sz w:val="16"/>
                <w:szCs w:val="16"/>
                <w:lang w:val="es-CO"/>
              </w:rPr>
              <w:t>ton</w:t>
            </w:r>
            <w:r w:rsidRPr="008E32DB">
              <w:rPr>
                <w:rFonts w:eastAsiaTheme="minorEastAsia"/>
                <w:sz w:val="16"/>
                <w:szCs w:val="16"/>
                <w:lang w:val="es-CO"/>
              </w:rPr>
              <w:t>s</w:t>
            </w:r>
            <w:proofErr w:type="spellEnd"/>
            <w:r w:rsidRPr="008E32DB">
              <w:rPr>
                <w:rFonts w:eastAsiaTheme="minorEastAsia"/>
                <w:sz w:val="16"/>
                <w:szCs w:val="16"/>
                <w:lang w:val="es-CO"/>
              </w:rPr>
              <w:t xml:space="preserve"> CO2</w:t>
            </w:r>
          </w:p>
        </w:tc>
      </w:tr>
      <w:tr w:rsidR="00BF0E7C" w:rsidRPr="008E32DB" w14:paraId="0F57B412" w14:textId="77777777" w:rsidTr="00BF0E7C">
        <w:tc>
          <w:tcPr>
            <w:tcW w:w="6374" w:type="dxa"/>
          </w:tcPr>
          <w:p w14:paraId="38AD857F" w14:textId="77777777" w:rsidR="00BF0E7C" w:rsidRPr="008E32DB" w:rsidRDefault="00BF0E7C" w:rsidP="00BF0E7C">
            <w:pPr>
              <w:jc w:val="center"/>
              <w:rPr>
                <w:rFonts w:eastAsiaTheme="minorEastAsia"/>
                <w:sz w:val="16"/>
                <w:szCs w:val="16"/>
              </w:rPr>
            </w:pPr>
            <m:oMath>
              <m:r>
                <w:rPr>
                  <w:rFonts w:ascii="Cambria Math" w:hAnsi="Cambria Math"/>
                  <w:sz w:val="16"/>
                  <w:szCs w:val="16"/>
                </w:rPr>
                <m:t xml:space="preserve">   </m:t>
              </m:r>
              <m:sSub>
                <m:sSubPr>
                  <m:ctrlPr>
                    <w:rPr>
                      <w:rFonts w:ascii="Cambria Math" w:hAnsi="Cambria Math"/>
                      <w:i/>
                      <w:sz w:val="16"/>
                      <w:szCs w:val="16"/>
                      <w:lang w:val="es-CO"/>
                    </w:rPr>
                  </m:ctrlPr>
                </m:sSubPr>
                <m:e>
                  <m:r>
                    <w:rPr>
                      <w:rFonts w:ascii="Cambria Math" w:hAnsi="Cambria Math"/>
                      <w:sz w:val="16"/>
                      <w:szCs w:val="16"/>
                      <w:lang w:val="es-CO"/>
                    </w:rPr>
                    <m:t>DT</m:t>
                  </m:r>
                </m:e>
                <m:sub>
                  <m:r>
                    <w:rPr>
                      <w:rFonts w:ascii="Cambria Math" w:hAnsi="Cambria Math"/>
                      <w:sz w:val="16"/>
                      <w:szCs w:val="16"/>
                      <w:lang w:val="es-CO"/>
                    </w:rPr>
                    <m:t>i</m:t>
                  </m:r>
                </m:sub>
              </m:sSub>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sSub>
                <m:sSubPr>
                  <m:ctrlPr>
                    <w:rPr>
                      <w:rFonts w:ascii="Cambria Math" w:hAnsi="Cambria Math"/>
                      <w:i/>
                      <w:sz w:val="16"/>
                      <w:szCs w:val="16"/>
                      <w:lang w:val="es-CO"/>
                    </w:rPr>
                  </m:ctrlPr>
                </m:sSubPr>
                <m:e>
                  <m:r>
                    <w:rPr>
                      <w:rFonts w:ascii="Cambria Math" w:hAnsi="Cambria Math"/>
                      <w:sz w:val="16"/>
                      <w:szCs w:val="16"/>
                      <w:lang w:val="es-CO"/>
                    </w:rPr>
                    <m:t>DTT</m:t>
                  </m:r>
                </m:e>
                <m:sub>
                  <m:r>
                    <w:rPr>
                      <w:rFonts w:ascii="Cambria Math" w:hAnsi="Cambria Math"/>
                      <w:sz w:val="16"/>
                      <w:szCs w:val="16"/>
                      <w:lang w:val="es-CO"/>
                    </w:rPr>
                    <m:t>i</m:t>
                  </m:r>
                </m:sub>
              </m:sSub>
              <m:r>
                <w:rPr>
                  <w:rFonts w:ascii="Cambria Math" w:hAnsi="Cambria Math"/>
                  <w:sz w:val="16"/>
                  <w:szCs w:val="16"/>
                </w:rPr>
                <m:t>(</m:t>
              </m:r>
              <m:r>
                <w:rPr>
                  <w:rFonts w:ascii="Cambria Math" w:hAnsi="Cambria Math"/>
                  <w:sz w:val="16"/>
                  <w:szCs w:val="16"/>
                  <w:lang w:val="es-CO"/>
                </w:rPr>
                <m:t>t</m:t>
              </m:r>
              <m:r>
                <w:rPr>
                  <w:rFonts w:ascii="Cambria Math" w:hAnsi="Cambria Math"/>
                  <w:sz w:val="16"/>
                  <w:szCs w:val="16"/>
                </w:rPr>
                <m:t>)*</m:t>
              </m:r>
              <m:sSub>
                <m:sSubPr>
                  <m:ctrlPr>
                    <w:rPr>
                      <w:rFonts w:ascii="Cambria Math" w:hAnsi="Cambria Math"/>
                      <w:i/>
                      <w:sz w:val="16"/>
                      <w:szCs w:val="16"/>
                      <w:lang w:val="es-CO"/>
                    </w:rPr>
                  </m:ctrlPr>
                </m:sSubPr>
                <m:e>
                  <m:r>
                    <w:rPr>
                      <w:rFonts w:ascii="Cambria Math" w:hAnsi="Cambria Math"/>
                      <w:sz w:val="16"/>
                      <w:szCs w:val="16"/>
                      <w:lang w:val="es-CO"/>
                    </w:rPr>
                    <m:t>NT</m:t>
                  </m:r>
                </m:e>
                <m:sub>
                  <m:r>
                    <w:rPr>
                      <w:rFonts w:ascii="Cambria Math" w:hAnsi="Cambria Math"/>
                      <w:sz w:val="16"/>
                      <w:szCs w:val="16"/>
                      <w:lang w:val="es-CO"/>
                    </w:rPr>
                    <m:t>i</m:t>
                  </m:r>
                </m:sub>
              </m:sSub>
              <m:r>
                <w:rPr>
                  <w:rFonts w:ascii="Cambria Math" w:hAnsi="Cambria Math"/>
                  <w:sz w:val="16"/>
                  <w:szCs w:val="16"/>
                </w:rPr>
                <m:t>(</m:t>
              </m:r>
              <m:r>
                <w:rPr>
                  <w:rFonts w:ascii="Cambria Math" w:hAnsi="Cambria Math"/>
                  <w:sz w:val="16"/>
                  <w:szCs w:val="16"/>
                  <w:lang w:val="es-CO"/>
                </w:rPr>
                <m:t>t</m:t>
              </m:r>
              <m:r>
                <w:rPr>
                  <w:rFonts w:ascii="Cambria Math" w:hAnsi="Cambria Math"/>
                  <w:sz w:val="16"/>
                  <w:szCs w:val="16"/>
                </w:rPr>
                <m:t>)*</m:t>
              </m:r>
              <m:sSub>
                <m:sSubPr>
                  <m:ctrlPr>
                    <w:rPr>
                      <w:rFonts w:ascii="Cambria Math" w:hAnsi="Cambria Math"/>
                      <w:i/>
                      <w:sz w:val="16"/>
                      <w:szCs w:val="16"/>
                      <w:lang w:val="es-CO"/>
                    </w:rPr>
                  </m:ctrlPr>
                </m:sSubPr>
                <m:e>
                  <m:r>
                    <w:rPr>
                      <w:rFonts w:ascii="Cambria Math" w:hAnsi="Cambria Math"/>
                      <w:sz w:val="16"/>
                      <w:szCs w:val="16"/>
                      <w:lang w:val="es-CO"/>
                    </w:rPr>
                    <m:t>NTV</m:t>
                  </m:r>
                </m:e>
                <m:sub>
                  <m:r>
                    <w:rPr>
                      <w:rFonts w:ascii="Cambria Math" w:hAnsi="Cambria Math"/>
                      <w:sz w:val="16"/>
                      <w:szCs w:val="16"/>
                      <w:lang w:val="es-CO"/>
                    </w:rPr>
                    <m:t>i</m:t>
                  </m:r>
                </m:sub>
              </m:sSub>
              <m:r>
                <w:rPr>
                  <w:rFonts w:ascii="Cambria Math" w:hAnsi="Cambria Math"/>
                  <w:sz w:val="16"/>
                  <w:szCs w:val="16"/>
                </w:rPr>
                <m:t>(</m:t>
              </m:r>
              <m:r>
                <w:rPr>
                  <w:rFonts w:ascii="Cambria Math" w:hAnsi="Cambria Math"/>
                  <w:sz w:val="16"/>
                  <w:szCs w:val="16"/>
                  <w:lang w:val="es-CO"/>
                </w:rPr>
                <m:t>t</m:t>
              </m:r>
              <m:r>
                <w:rPr>
                  <w:rFonts w:ascii="Cambria Math" w:hAnsi="Cambria Math"/>
                  <w:sz w:val="16"/>
                  <w:szCs w:val="16"/>
                </w:rPr>
                <m:t>)</m:t>
              </m:r>
            </m:oMath>
            <w:r>
              <w:rPr>
                <w:rFonts w:eastAsiaTheme="minorEastAsia"/>
                <w:sz w:val="16"/>
                <w:szCs w:val="16"/>
              </w:rPr>
              <w:t xml:space="preserve"> </w:t>
            </w:r>
            <w:r w:rsidRPr="008E32DB">
              <w:rPr>
                <w:rFonts w:eastAsiaTheme="minorEastAsia"/>
                <w:sz w:val="16"/>
                <w:szCs w:val="16"/>
              </w:rPr>
              <w:t xml:space="preserve">   </w:t>
            </w:r>
            <w:r>
              <w:rPr>
                <w:rFonts w:eastAsiaTheme="minorEastAsia"/>
                <w:sz w:val="16"/>
                <w:szCs w:val="16"/>
              </w:rPr>
              <w:t xml:space="preserve"> </w:t>
            </w:r>
            <w:r w:rsidRPr="008E32DB">
              <w:rPr>
                <w:rFonts w:eastAsiaTheme="minorEastAsia"/>
                <w:sz w:val="16"/>
                <w:szCs w:val="16"/>
              </w:rPr>
              <w:t>(2)</w:t>
            </w:r>
          </w:p>
          <w:p w14:paraId="73E730A6" w14:textId="77777777" w:rsidR="00BF0E7C" w:rsidRPr="00E0212A" w:rsidRDefault="00BF0E7C" w:rsidP="00BF0E7C">
            <w:pPr>
              <w:jc w:val="both"/>
              <w:rPr>
                <w:rFonts w:eastAsiaTheme="minorEastAsia"/>
                <w:sz w:val="16"/>
                <w:szCs w:val="16"/>
              </w:rPr>
            </w:pPr>
            <w:r w:rsidRPr="00E0212A">
              <w:rPr>
                <w:rFonts w:eastAsiaTheme="minorEastAsia"/>
                <w:sz w:val="16"/>
                <w:szCs w:val="16"/>
              </w:rPr>
              <w:t>The total distance traveled (DT) by type of vehicle depends on the number of trips made by each vehicle on a trip (DTT), the total number of trips made and the total number of vehicles.</w:t>
            </w:r>
          </w:p>
          <w:p w14:paraId="07425681" w14:textId="77777777" w:rsidR="00BF0E7C" w:rsidRPr="00E0212A" w:rsidRDefault="00BF0E7C" w:rsidP="00BF0E7C">
            <w:pPr>
              <w:jc w:val="center"/>
              <w:rPr>
                <w:sz w:val="16"/>
                <w:szCs w:val="16"/>
              </w:rPr>
            </w:pPr>
          </w:p>
        </w:tc>
        <w:tc>
          <w:tcPr>
            <w:tcW w:w="2454" w:type="dxa"/>
            <w:vAlign w:val="center"/>
          </w:tcPr>
          <w:p w14:paraId="16FD52A1" w14:textId="77777777" w:rsidR="00BF0E7C" w:rsidRPr="008E32DB" w:rsidRDefault="00BF0E7C" w:rsidP="00BF0E7C">
            <w:pPr>
              <w:jc w:val="center"/>
              <w:rPr>
                <w:sz w:val="16"/>
                <w:szCs w:val="16"/>
                <w:lang w:val="es-CO"/>
              </w:rPr>
            </w:pPr>
            <w:r w:rsidRPr="008E32DB">
              <w:rPr>
                <w:rFonts w:eastAsiaTheme="minorEastAsia"/>
                <w:sz w:val="16"/>
                <w:szCs w:val="16"/>
                <w:lang w:val="es-CO"/>
              </w:rPr>
              <w:t>Km</w:t>
            </w:r>
          </w:p>
        </w:tc>
      </w:tr>
      <w:tr w:rsidR="00BF0E7C" w:rsidRPr="008E32DB" w14:paraId="6C33B012" w14:textId="77777777" w:rsidTr="00BF0E7C">
        <w:tc>
          <w:tcPr>
            <w:tcW w:w="6374" w:type="dxa"/>
          </w:tcPr>
          <w:p w14:paraId="32A3D841" w14:textId="77777777" w:rsidR="00BF0E7C" w:rsidRPr="008E32DB" w:rsidRDefault="00155DEE" w:rsidP="00BF0E7C">
            <w:pPr>
              <w:jc w:val="center"/>
              <w:rPr>
                <w:rFonts w:eastAsiaTheme="minorEastAsia"/>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NTV</m:t>
                  </m:r>
                </m:e>
                <m:sub>
                  <m:r>
                    <w:rPr>
                      <w:rFonts w:ascii="Cambria Math" w:hAnsi="Cambria Math"/>
                      <w:sz w:val="16"/>
                      <w:szCs w:val="16"/>
                      <w:lang w:val="es-CO"/>
                    </w:rPr>
                    <m:t>i</m:t>
                  </m:r>
                </m:sub>
              </m:sSub>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nary>
                <m:naryPr>
                  <m:limLoc m:val="undOvr"/>
                  <m:subHide m:val="1"/>
                  <m:supHide m:val="1"/>
                  <m:ctrlPr>
                    <w:rPr>
                      <w:rFonts w:ascii="Cambria Math" w:hAnsi="Cambria Math"/>
                      <w:i/>
                      <w:sz w:val="16"/>
                      <w:szCs w:val="16"/>
                      <w:lang w:val="es-CO"/>
                    </w:rPr>
                  </m:ctrlPr>
                </m:naryPr>
                <m:sub/>
                <m:sup/>
                <m:e>
                  <m:sSub>
                    <m:sSubPr>
                      <m:ctrlPr>
                        <w:rPr>
                          <w:rFonts w:ascii="Cambria Math" w:hAnsi="Cambria Math"/>
                          <w:i/>
                          <w:sz w:val="16"/>
                          <w:szCs w:val="16"/>
                          <w:lang w:val="es-CO"/>
                        </w:rPr>
                      </m:ctrlPr>
                    </m:sSubPr>
                    <m:e>
                      <m:r>
                        <w:rPr>
                          <w:rFonts w:ascii="Cambria Math" w:hAnsi="Cambria Math"/>
                          <w:sz w:val="16"/>
                          <w:szCs w:val="16"/>
                          <w:lang w:val="es-CO"/>
                        </w:rPr>
                        <m:t>NVR</m:t>
                      </m:r>
                    </m:e>
                    <m:sub>
                      <m:r>
                        <w:rPr>
                          <w:rFonts w:ascii="Cambria Math" w:hAnsi="Cambria Math"/>
                          <w:sz w:val="16"/>
                          <w:szCs w:val="16"/>
                          <w:lang w:val="es-CO"/>
                        </w:rPr>
                        <m:t>i</m:t>
                      </m:r>
                    </m:sub>
                  </m:sSub>
                  <m:r>
                    <w:rPr>
                      <w:rFonts w:ascii="Cambria Math" w:hAnsi="Cambria Math"/>
                      <w:sz w:val="16"/>
                      <w:szCs w:val="16"/>
                    </w:rPr>
                    <m:t>(</m:t>
                  </m:r>
                  <m:r>
                    <w:rPr>
                      <w:rFonts w:ascii="Cambria Math" w:hAnsi="Cambria Math"/>
                      <w:sz w:val="16"/>
                      <w:szCs w:val="16"/>
                      <w:lang w:val="es-CO"/>
                    </w:rPr>
                    <m:t>t</m:t>
                  </m:r>
                  <m:r>
                    <w:rPr>
                      <w:rFonts w:ascii="Cambria Math" w:hAnsi="Cambria Math"/>
                      <w:sz w:val="16"/>
                      <w:szCs w:val="16"/>
                    </w:rPr>
                    <m:t>)</m:t>
                  </m:r>
                </m:e>
              </m:nary>
              <m:r>
                <w:rPr>
                  <w:rFonts w:ascii="Cambria Math" w:hAnsi="Cambria Math"/>
                  <w:sz w:val="16"/>
                  <w:szCs w:val="16"/>
                  <w:lang w:val="es-CO"/>
                </w:rPr>
                <m:t>dt</m:t>
              </m:r>
            </m:oMath>
            <w:r w:rsidR="00BF0E7C" w:rsidRPr="008E32DB">
              <w:rPr>
                <w:rFonts w:eastAsiaTheme="minorEastAsia"/>
                <w:sz w:val="16"/>
                <w:szCs w:val="16"/>
              </w:rPr>
              <w:t xml:space="preserve">  (3)</w:t>
            </w:r>
          </w:p>
          <w:p w14:paraId="52ABF48D" w14:textId="77777777" w:rsidR="00BF0E7C" w:rsidRDefault="00BF0E7C" w:rsidP="00BF0E7C">
            <w:pPr>
              <w:jc w:val="both"/>
              <w:rPr>
                <w:rFonts w:eastAsiaTheme="minorEastAsia"/>
                <w:sz w:val="16"/>
                <w:szCs w:val="16"/>
              </w:rPr>
            </w:pPr>
            <w:r w:rsidRPr="0026797E">
              <w:rPr>
                <w:rFonts w:eastAsiaTheme="minorEastAsia"/>
                <w:sz w:val="16"/>
                <w:szCs w:val="16"/>
              </w:rPr>
              <w:t>The total number of vehicles (NTV) depends on the purchase of vehicles</w:t>
            </w:r>
            <w:r>
              <w:rPr>
                <w:rFonts w:eastAsiaTheme="minorEastAsia"/>
                <w:sz w:val="16"/>
                <w:szCs w:val="16"/>
              </w:rPr>
              <w:t xml:space="preserve"> or number of vehicles required </w:t>
            </w:r>
            <w:r w:rsidRPr="0026797E">
              <w:rPr>
                <w:rFonts w:eastAsiaTheme="minorEastAsia"/>
                <w:sz w:val="16"/>
                <w:szCs w:val="16"/>
              </w:rPr>
              <w:t>(NVR).</w:t>
            </w:r>
          </w:p>
          <w:p w14:paraId="29D1B53E" w14:textId="77777777" w:rsidR="00BF0E7C" w:rsidRPr="00E0212A" w:rsidRDefault="00BF0E7C" w:rsidP="00BF0E7C">
            <w:pPr>
              <w:jc w:val="both"/>
              <w:rPr>
                <w:sz w:val="16"/>
                <w:szCs w:val="16"/>
              </w:rPr>
            </w:pPr>
          </w:p>
        </w:tc>
        <w:tc>
          <w:tcPr>
            <w:tcW w:w="2454" w:type="dxa"/>
            <w:vAlign w:val="center"/>
          </w:tcPr>
          <w:p w14:paraId="6D22D434" w14:textId="77777777" w:rsidR="00BF0E7C" w:rsidRPr="008E32DB" w:rsidRDefault="00BF0E7C" w:rsidP="00BF0E7C">
            <w:pPr>
              <w:jc w:val="center"/>
              <w:rPr>
                <w:sz w:val="16"/>
                <w:szCs w:val="16"/>
                <w:lang w:val="es-CO"/>
              </w:rPr>
            </w:pPr>
            <w:proofErr w:type="spellStart"/>
            <w:r>
              <w:rPr>
                <w:rFonts w:eastAsiaTheme="minorEastAsia"/>
                <w:sz w:val="16"/>
                <w:szCs w:val="16"/>
                <w:lang w:val="es-CO"/>
              </w:rPr>
              <w:t>Vehicle</w:t>
            </w:r>
            <w:r w:rsidRPr="008E32DB">
              <w:rPr>
                <w:rFonts w:eastAsiaTheme="minorEastAsia"/>
                <w:sz w:val="16"/>
                <w:szCs w:val="16"/>
                <w:lang w:val="es-CO"/>
              </w:rPr>
              <w:t>s</w:t>
            </w:r>
            <w:proofErr w:type="spellEnd"/>
          </w:p>
        </w:tc>
      </w:tr>
      <w:tr w:rsidR="00BF0E7C" w:rsidRPr="008E32DB" w14:paraId="64454287" w14:textId="77777777" w:rsidTr="00BF0E7C">
        <w:tc>
          <w:tcPr>
            <w:tcW w:w="6374" w:type="dxa"/>
          </w:tcPr>
          <w:p w14:paraId="15F69302" w14:textId="77777777" w:rsidR="00BF0E7C" w:rsidRPr="008E32DB" w:rsidRDefault="00155DEE" w:rsidP="00BF0E7C">
            <w:pPr>
              <w:jc w:val="center"/>
              <w:rPr>
                <w:rFonts w:eastAsiaTheme="minorEastAsia"/>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NVR</m:t>
                  </m:r>
                </m:e>
                <m:sub>
                  <m:r>
                    <w:rPr>
                      <w:rFonts w:ascii="Cambria Math" w:hAnsi="Cambria Math"/>
                      <w:sz w:val="16"/>
                      <w:szCs w:val="16"/>
                      <w:lang w:val="es-CO"/>
                    </w:rPr>
                    <m:t>i</m:t>
                  </m:r>
                </m:sub>
              </m:sSub>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sSub>
                <m:sSubPr>
                  <m:ctrlPr>
                    <w:rPr>
                      <w:rFonts w:ascii="Cambria Math" w:hAnsi="Cambria Math"/>
                      <w:i/>
                      <w:sz w:val="16"/>
                      <w:szCs w:val="16"/>
                      <w:lang w:val="es-CO"/>
                    </w:rPr>
                  </m:ctrlPr>
                </m:sSubPr>
                <m:e>
                  <m:r>
                    <w:rPr>
                      <w:rFonts w:ascii="Cambria Math" w:hAnsi="Cambria Math"/>
                      <w:sz w:val="16"/>
                      <w:szCs w:val="16"/>
                      <w:lang w:val="es-CO"/>
                    </w:rPr>
                    <m:t>MAX</m:t>
                  </m:r>
                  <m:r>
                    <w:rPr>
                      <w:rFonts w:ascii="Cambria Math" w:hAnsi="Cambria Math"/>
                      <w:sz w:val="16"/>
                      <w:szCs w:val="16"/>
                    </w:rPr>
                    <m:t>(</m:t>
                  </m:r>
                  <m:r>
                    <w:rPr>
                      <w:rFonts w:ascii="Cambria Math" w:hAnsi="Cambria Math"/>
                      <w:sz w:val="16"/>
                      <w:szCs w:val="16"/>
                      <w:lang w:val="es-CO"/>
                    </w:rPr>
                    <m:t>O</m:t>
                  </m:r>
                  <m:r>
                    <w:rPr>
                      <w:rFonts w:ascii="Cambria Math" w:hAnsi="Cambria Math"/>
                      <w:sz w:val="16"/>
                      <w:szCs w:val="16"/>
                    </w:rPr>
                    <m:t>,</m:t>
                  </m:r>
                  <m:r>
                    <w:rPr>
                      <w:rFonts w:ascii="Cambria Math" w:hAnsi="Cambria Math"/>
                      <w:sz w:val="16"/>
                      <w:szCs w:val="16"/>
                      <w:lang w:val="es-CO"/>
                    </w:rPr>
                    <m:t>NP</m:t>
                  </m:r>
                </m:e>
                <m:sub>
                  <m:r>
                    <w:rPr>
                      <w:rFonts w:ascii="Cambria Math" w:hAnsi="Cambria Math"/>
                      <w:sz w:val="16"/>
                      <w:szCs w:val="16"/>
                      <w:lang w:val="es-CO"/>
                    </w:rPr>
                    <m:t>i</m:t>
                  </m:r>
                </m:sub>
              </m:sSub>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r>
                <w:rPr>
                  <w:rFonts w:ascii="Cambria Math" w:hAnsi="Cambria Math"/>
                  <w:sz w:val="16"/>
                  <w:szCs w:val="16"/>
                  <w:lang w:val="es-CO"/>
                </w:rPr>
                <m:t>UtilMean</m:t>
              </m:r>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sSub>
                <m:sSubPr>
                  <m:ctrlPr>
                    <w:rPr>
                      <w:rFonts w:ascii="Cambria Math" w:hAnsi="Cambria Math"/>
                      <w:i/>
                      <w:sz w:val="16"/>
                      <w:szCs w:val="16"/>
                      <w:lang w:val="es-CO"/>
                    </w:rPr>
                  </m:ctrlPr>
                </m:sSubPr>
                <m:e>
                  <m:r>
                    <w:rPr>
                      <w:rFonts w:ascii="Cambria Math" w:hAnsi="Cambria Math"/>
                      <w:sz w:val="16"/>
                      <w:szCs w:val="16"/>
                      <w:lang w:val="es-CO"/>
                    </w:rPr>
                    <m:t>NVR</m:t>
                  </m:r>
                </m:e>
                <m:sub>
                  <m:r>
                    <w:rPr>
                      <w:rFonts w:ascii="Cambria Math" w:hAnsi="Cambria Math"/>
                      <w:sz w:val="16"/>
                      <w:szCs w:val="16"/>
                      <w:lang w:val="es-CO"/>
                    </w:rPr>
                    <m:t>i</m:t>
                  </m:r>
                </m:sub>
              </m:sSub>
              <m:r>
                <w:rPr>
                  <w:rFonts w:ascii="Cambria Math" w:hAnsi="Cambria Math"/>
                  <w:sz w:val="16"/>
                  <w:szCs w:val="16"/>
                </w:rPr>
                <m:t>(</m:t>
              </m:r>
              <m:r>
                <w:rPr>
                  <w:rFonts w:ascii="Cambria Math" w:hAnsi="Cambria Math"/>
                  <w:sz w:val="16"/>
                  <w:szCs w:val="16"/>
                  <w:lang w:val="es-CO"/>
                </w:rPr>
                <m:t>t</m:t>
              </m:r>
              <m:r>
                <w:rPr>
                  <w:rFonts w:ascii="Cambria Math" w:hAnsi="Cambria Math"/>
                  <w:sz w:val="16"/>
                  <w:szCs w:val="16"/>
                </w:rPr>
                <m:t>-1)</m:t>
              </m:r>
            </m:oMath>
            <w:r w:rsidR="00BF0E7C" w:rsidRPr="008E32DB">
              <w:rPr>
                <w:rFonts w:eastAsiaTheme="minorEastAsia"/>
                <w:sz w:val="16"/>
                <w:szCs w:val="16"/>
              </w:rPr>
              <w:t>)   (4)</w:t>
            </w:r>
          </w:p>
          <w:p w14:paraId="2F727FEE" w14:textId="77777777" w:rsidR="00BF0E7C" w:rsidRDefault="00BF0E7C" w:rsidP="00BF0E7C">
            <w:pPr>
              <w:jc w:val="both"/>
              <w:rPr>
                <w:rFonts w:eastAsiaTheme="minorEastAsia"/>
                <w:sz w:val="16"/>
                <w:szCs w:val="16"/>
              </w:rPr>
            </w:pPr>
            <w:r w:rsidRPr="0026797E">
              <w:rPr>
                <w:rFonts w:eastAsiaTheme="minorEastAsia"/>
                <w:sz w:val="16"/>
                <w:szCs w:val="16"/>
              </w:rPr>
              <w:t>The number of vehicles required at time t (NVR) depends on the number of trips (NP), and the capacity of the vehicles according to the type.</w:t>
            </w:r>
          </w:p>
          <w:p w14:paraId="56A29CE2" w14:textId="77777777" w:rsidR="00BF0E7C" w:rsidRPr="00E0212A" w:rsidRDefault="00BF0E7C" w:rsidP="00BF0E7C">
            <w:pPr>
              <w:jc w:val="center"/>
              <w:rPr>
                <w:sz w:val="16"/>
                <w:szCs w:val="16"/>
              </w:rPr>
            </w:pPr>
          </w:p>
        </w:tc>
        <w:tc>
          <w:tcPr>
            <w:tcW w:w="2454" w:type="dxa"/>
            <w:vAlign w:val="center"/>
          </w:tcPr>
          <w:p w14:paraId="3769789F" w14:textId="77777777" w:rsidR="00BF0E7C" w:rsidRPr="008E32DB" w:rsidRDefault="00BF0E7C" w:rsidP="00BF0E7C">
            <w:pPr>
              <w:jc w:val="center"/>
              <w:rPr>
                <w:sz w:val="16"/>
                <w:szCs w:val="16"/>
                <w:lang w:val="es-CO"/>
              </w:rPr>
            </w:pPr>
            <w:proofErr w:type="spellStart"/>
            <w:r>
              <w:rPr>
                <w:rFonts w:eastAsiaTheme="minorEastAsia"/>
                <w:sz w:val="16"/>
                <w:szCs w:val="16"/>
                <w:lang w:val="es-CO"/>
              </w:rPr>
              <w:t>Vehicle</w:t>
            </w:r>
            <w:r w:rsidRPr="008E32DB">
              <w:rPr>
                <w:rFonts w:eastAsiaTheme="minorEastAsia"/>
                <w:sz w:val="16"/>
                <w:szCs w:val="16"/>
                <w:lang w:val="es-CO"/>
              </w:rPr>
              <w:t>s</w:t>
            </w:r>
            <w:proofErr w:type="spellEnd"/>
          </w:p>
        </w:tc>
      </w:tr>
      <w:tr w:rsidR="00BF0E7C" w:rsidRPr="008E32DB" w14:paraId="3C60995F" w14:textId="77777777" w:rsidTr="00BF0E7C">
        <w:tc>
          <w:tcPr>
            <w:tcW w:w="6374" w:type="dxa"/>
          </w:tcPr>
          <w:p w14:paraId="50161BEB" w14:textId="77777777" w:rsidR="00BF0E7C" w:rsidRPr="008E32DB" w:rsidRDefault="00BF0E7C" w:rsidP="00BF0E7C">
            <w:pPr>
              <w:jc w:val="center"/>
              <w:rPr>
                <w:rFonts w:eastAsiaTheme="minorEastAsia"/>
                <w:sz w:val="16"/>
                <w:szCs w:val="16"/>
              </w:rPr>
            </w:pPr>
            <m:oMath>
              <m:r>
                <w:rPr>
                  <w:rFonts w:ascii="Cambria Math" w:hAnsi="Cambria Math"/>
                  <w:sz w:val="16"/>
                  <w:szCs w:val="16"/>
                  <w:lang w:val="es-CO"/>
                </w:rPr>
                <m:t>Po</m:t>
              </m:r>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nary>
                <m:naryPr>
                  <m:limLoc m:val="undOvr"/>
                  <m:subHide m:val="1"/>
                  <m:supHide m:val="1"/>
                  <m:ctrlPr>
                    <w:rPr>
                      <w:rFonts w:ascii="Cambria Math" w:hAnsi="Cambria Math"/>
                      <w:i/>
                      <w:sz w:val="16"/>
                      <w:szCs w:val="16"/>
                      <w:lang w:val="es-CO"/>
                    </w:rPr>
                  </m:ctrlPr>
                </m:naryPr>
                <m:sub/>
                <m:sup/>
                <m:e>
                  <m:r>
                    <w:rPr>
                      <w:rFonts w:ascii="Cambria Math" w:hAnsi="Cambria Math"/>
                      <w:sz w:val="16"/>
                      <w:szCs w:val="16"/>
                      <w:lang w:val="es-CO"/>
                    </w:rPr>
                    <m:t>C</m:t>
                  </m:r>
                  <m:r>
                    <w:rPr>
                      <w:rFonts w:ascii="Cambria Math" w:hAnsi="Cambria Math"/>
                      <w:sz w:val="16"/>
                      <w:szCs w:val="16"/>
                    </w:rPr>
                    <m:t>h</m:t>
                  </m:r>
                  <m:r>
                    <w:rPr>
                      <w:rFonts w:ascii="Cambria Math" w:hAnsi="Cambria Math"/>
                      <w:sz w:val="16"/>
                      <w:szCs w:val="16"/>
                      <w:lang w:val="es-CO"/>
                    </w:rPr>
                    <m:t>ange</m:t>
                  </m:r>
                  <m:d>
                    <m:dPr>
                      <m:ctrlPr>
                        <w:rPr>
                          <w:rFonts w:ascii="Cambria Math" w:hAnsi="Cambria Math"/>
                          <w:i/>
                          <w:sz w:val="16"/>
                          <w:szCs w:val="16"/>
                          <w:lang w:val="es-CO"/>
                        </w:rPr>
                      </m:ctrlPr>
                    </m:dPr>
                    <m:e>
                      <m:r>
                        <w:rPr>
                          <w:rFonts w:ascii="Cambria Math" w:hAnsi="Cambria Math"/>
                          <w:sz w:val="16"/>
                          <w:szCs w:val="16"/>
                          <w:lang w:val="es-CO"/>
                        </w:rPr>
                        <m:t>t</m:t>
                      </m:r>
                    </m:e>
                  </m:d>
                  <m:r>
                    <w:rPr>
                      <w:rFonts w:ascii="Cambria Math" w:hAnsi="Cambria Math"/>
                      <w:sz w:val="16"/>
                      <w:szCs w:val="16"/>
                    </w:rPr>
                    <m:t>*</m:t>
                  </m:r>
                  <m:r>
                    <w:rPr>
                      <w:rFonts w:ascii="Cambria Math" w:hAnsi="Cambria Math"/>
                      <w:sz w:val="16"/>
                      <w:szCs w:val="16"/>
                      <w:lang w:val="es-CO"/>
                    </w:rPr>
                    <m:t>Po</m:t>
                  </m:r>
                  <m:d>
                    <m:dPr>
                      <m:ctrlPr>
                        <w:rPr>
                          <w:rFonts w:ascii="Cambria Math" w:hAnsi="Cambria Math"/>
                          <w:i/>
                          <w:sz w:val="16"/>
                          <w:szCs w:val="16"/>
                          <w:lang w:val="es-CO"/>
                        </w:rPr>
                      </m:ctrlPr>
                    </m:dPr>
                    <m:e>
                      <m:r>
                        <w:rPr>
                          <w:rFonts w:ascii="Cambria Math" w:hAnsi="Cambria Math"/>
                          <w:sz w:val="16"/>
                          <w:szCs w:val="16"/>
                          <w:lang w:val="es-CO"/>
                        </w:rPr>
                        <m:t>t</m:t>
                      </m:r>
                      <m:r>
                        <w:rPr>
                          <w:rFonts w:ascii="Cambria Math" w:hAnsi="Cambria Math"/>
                          <w:sz w:val="16"/>
                          <w:szCs w:val="16"/>
                        </w:rPr>
                        <m:t>-1</m:t>
                      </m:r>
                    </m:e>
                  </m:d>
                  <m:r>
                    <w:rPr>
                      <w:rFonts w:ascii="Cambria Math" w:hAnsi="Cambria Math"/>
                      <w:sz w:val="16"/>
                      <w:szCs w:val="16"/>
                      <w:lang w:val="es-CO"/>
                    </w:rPr>
                    <m:t>dt</m:t>
                  </m:r>
                </m:e>
              </m:nary>
            </m:oMath>
            <w:r w:rsidRPr="008E32DB">
              <w:rPr>
                <w:rFonts w:eastAsiaTheme="minorEastAsia"/>
                <w:sz w:val="16"/>
                <w:szCs w:val="16"/>
              </w:rPr>
              <w:t xml:space="preserve">    (5)</w:t>
            </w:r>
          </w:p>
          <w:p w14:paraId="7B39EF44" w14:textId="77777777" w:rsidR="00BF0E7C" w:rsidRPr="00E0212A" w:rsidRDefault="00BF0E7C" w:rsidP="00BF0E7C">
            <w:pPr>
              <w:jc w:val="both"/>
              <w:rPr>
                <w:sz w:val="16"/>
                <w:szCs w:val="16"/>
              </w:rPr>
            </w:pPr>
            <w:r w:rsidRPr="0026797E">
              <w:rPr>
                <w:sz w:val="16"/>
                <w:szCs w:val="16"/>
              </w:rPr>
              <w:t>The population (Po) depends on the percentage of change (Change) and the population in the previous period.</w:t>
            </w:r>
          </w:p>
        </w:tc>
        <w:tc>
          <w:tcPr>
            <w:tcW w:w="2454" w:type="dxa"/>
            <w:vAlign w:val="center"/>
          </w:tcPr>
          <w:p w14:paraId="789D0F4B" w14:textId="77777777" w:rsidR="00BF0E7C" w:rsidRPr="008E32DB" w:rsidRDefault="00BF0E7C" w:rsidP="00BF0E7C">
            <w:pPr>
              <w:jc w:val="center"/>
              <w:rPr>
                <w:sz w:val="16"/>
                <w:szCs w:val="16"/>
                <w:lang w:val="es-CO"/>
              </w:rPr>
            </w:pPr>
            <w:proofErr w:type="spellStart"/>
            <w:r>
              <w:rPr>
                <w:rFonts w:eastAsiaTheme="minorEastAsia"/>
                <w:sz w:val="16"/>
                <w:szCs w:val="16"/>
                <w:lang w:val="es-CO"/>
              </w:rPr>
              <w:t>Person</w:t>
            </w:r>
            <w:proofErr w:type="spellEnd"/>
          </w:p>
        </w:tc>
      </w:tr>
    </w:tbl>
    <w:p w14:paraId="03441708" w14:textId="77777777" w:rsidR="001544C1" w:rsidRDefault="001544C1" w:rsidP="007827BF">
      <w:pPr>
        <w:jc w:val="both"/>
        <w:rPr>
          <w:lang w:val="es-CO"/>
        </w:rPr>
      </w:pPr>
    </w:p>
    <w:p w14:paraId="663431CB" w14:textId="549F0E31" w:rsidR="001544C1" w:rsidRPr="001544C1" w:rsidRDefault="001544C1" w:rsidP="001544C1">
      <w:pPr>
        <w:rPr>
          <w:b/>
          <w:bCs/>
          <w:lang w:val="id-ID"/>
        </w:rPr>
      </w:pPr>
      <w:r w:rsidRPr="001544C1">
        <w:rPr>
          <w:b/>
          <w:bCs/>
          <w:lang w:val="id-ID"/>
        </w:rPr>
        <w:t xml:space="preserve">2.1 </w:t>
      </w:r>
      <w:r w:rsidR="007827BF">
        <w:rPr>
          <w:b/>
          <w:bCs/>
          <w:lang w:val="id-ID"/>
        </w:rPr>
        <w:t>Assumptions and main parameters of the model</w:t>
      </w:r>
    </w:p>
    <w:p w14:paraId="55B3986E" w14:textId="77777777" w:rsidR="007827BF" w:rsidRPr="00323C54" w:rsidRDefault="007827BF" w:rsidP="007827BF">
      <w:pPr>
        <w:ind w:firstLine="709"/>
        <w:jc w:val="both"/>
        <w:rPr>
          <w:lang w:val="en"/>
        </w:rPr>
      </w:pPr>
      <w:r w:rsidRPr="00323C54">
        <w:rPr>
          <w:lang w:val="en"/>
        </w:rPr>
        <w:t xml:space="preserve">The information used to feed the model comes from reliable sources such as DANE (National Administrative Department of Statistics) and EIA (U.S Energy Information Administration). The simulation period </w:t>
      </w:r>
      <w:r>
        <w:rPr>
          <w:lang w:val="en"/>
        </w:rPr>
        <w:t>comprise</w:t>
      </w:r>
      <w:r w:rsidRPr="00323C54">
        <w:rPr>
          <w:lang w:val="en"/>
        </w:rPr>
        <w:t>s from 2</w:t>
      </w:r>
      <w:r>
        <w:rPr>
          <w:lang w:val="en"/>
        </w:rPr>
        <w:t xml:space="preserve">005 to 2050. In the model, </w:t>
      </w:r>
      <w:r w:rsidRPr="00323C54">
        <w:rPr>
          <w:lang w:val="en"/>
        </w:rPr>
        <w:t>private and public vehicles</w:t>
      </w:r>
      <w:r>
        <w:rPr>
          <w:lang w:val="en"/>
        </w:rPr>
        <w:t xml:space="preserve"> </w:t>
      </w:r>
      <w:r w:rsidRPr="00323C54">
        <w:rPr>
          <w:lang w:val="en"/>
        </w:rPr>
        <w:t>are considered</w:t>
      </w:r>
      <w:r>
        <w:rPr>
          <w:lang w:val="en"/>
        </w:rPr>
        <w:t>. Private vehicles are divided into</w:t>
      </w:r>
      <w:r w:rsidRPr="00323C54">
        <w:rPr>
          <w:lang w:val="en"/>
        </w:rPr>
        <w:t xml:space="preserve">: cars, motorcycles and electric bicycles. </w:t>
      </w:r>
      <w:r>
        <w:rPr>
          <w:lang w:val="en"/>
        </w:rPr>
        <w:t>Public vehicles are divided into</w:t>
      </w:r>
      <w:r w:rsidRPr="00323C54">
        <w:rPr>
          <w:lang w:val="en"/>
        </w:rPr>
        <w:t>: BRT (Bus Rapid Transit, for the</w:t>
      </w:r>
      <w:r>
        <w:rPr>
          <w:lang w:val="en"/>
        </w:rPr>
        <w:t xml:space="preserve"> study</w:t>
      </w:r>
      <w:r w:rsidRPr="00323C54">
        <w:rPr>
          <w:lang w:val="en"/>
        </w:rPr>
        <w:t xml:space="preserve"> case of </w:t>
      </w:r>
      <w:proofErr w:type="spellStart"/>
      <w:r w:rsidRPr="00323C54">
        <w:rPr>
          <w:lang w:val="en"/>
        </w:rPr>
        <w:t>Transmilenio</w:t>
      </w:r>
      <w:proofErr w:type="spellEnd"/>
      <w:r w:rsidRPr="00323C54">
        <w:rPr>
          <w:lang w:val="en"/>
        </w:rPr>
        <w:t>), buses, taxis and metro. In the model</w:t>
      </w:r>
      <w:r>
        <w:rPr>
          <w:lang w:val="en"/>
        </w:rPr>
        <w:t xml:space="preserve"> it is considered that the metro will begin operations in</w:t>
      </w:r>
      <w:r w:rsidRPr="00323C54">
        <w:rPr>
          <w:lang w:val="en"/>
        </w:rPr>
        <w:t xml:space="preserve"> year 2020 and then every 4 years a line will enter according to the scenario (See section III).</w:t>
      </w:r>
    </w:p>
    <w:p w14:paraId="65EB961D" w14:textId="6D526EAB" w:rsidR="007827BF" w:rsidRDefault="00D83117" w:rsidP="00D83117">
      <w:pPr>
        <w:ind w:firstLine="709"/>
        <w:jc w:val="both"/>
        <w:rPr>
          <w:lang w:val="en"/>
        </w:rPr>
      </w:pPr>
      <w:r>
        <w:rPr>
          <w:lang w:val="en"/>
        </w:rPr>
        <w:t> </w:t>
      </w:r>
      <w:r w:rsidR="007827BF">
        <w:rPr>
          <w:lang w:val="en"/>
        </w:rPr>
        <w:t>In Table 2</w:t>
      </w:r>
      <w:r w:rsidR="007827BF" w:rsidRPr="00323C54">
        <w:rPr>
          <w:lang w:val="en"/>
        </w:rPr>
        <w:t>, the main parameters used and their corresponding values ​​are shown.</w:t>
      </w:r>
    </w:p>
    <w:p w14:paraId="449CEF1C" w14:textId="77777777" w:rsidR="007827BF" w:rsidRDefault="007827BF" w:rsidP="007827BF">
      <w:pPr>
        <w:jc w:val="both"/>
        <w:rPr>
          <w:lang w:val="en"/>
        </w:rPr>
      </w:pPr>
    </w:p>
    <w:p w14:paraId="09AFCCB0" w14:textId="76011923" w:rsidR="0050765F" w:rsidRDefault="0050765F" w:rsidP="0050765F">
      <w:pPr>
        <w:pStyle w:val="TableTitle"/>
        <w:rPr>
          <w:smallCaps w:val="0"/>
          <w:sz w:val="20"/>
          <w:szCs w:val="20"/>
          <w:lang w:val="en"/>
        </w:rPr>
      </w:pPr>
      <w:r w:rsidRPr="0050765F">
        <w:rPr>
          <w:smallCaps w:val="0"/>
          <w:sz w:val="20"/>
          <w:szCs w:val="20"/>
          <w:lang w:val="en"/>
        </w:rPr>
        <w:t>T</w:t>
      </w:r>
      <w:r>
        <w:rPr>
          <w:smallCaps w:val="0"/>
          <w:sz w:val="20"/>
          <w:szCs w:val="20"/>
          <w:lang w:val="en"/>
        </w:rPr>
        <w:t>able 2. V</w:t>
      </w:r>
      <w:r w:rsidRPr="0050765F">
        <w:rPr>
          <w:smallCaps w:val="0"/>
          <w:sz w:val="20"/>
          <w:szCs w:val="20"/>
          <w:lang w:val="en"/>
        </w:rPr>
        <w:t>alues of parameters</w:t>
      </w:r>
      <w:r>
        <w:rPr>
          <w:smallCaps w:val="0"/>
          <w:sz w:val="20"/>
          <w:szCs w:val="20"/>
          <w:lang w:val="en"/>
        </w:rPr>
        <w:t>.</w:t>
      </w:r>
    </w:p>
    <w:p w14:paraId="467E4A9C" w14:textId="77777777" w:rsidR="0050765F" w:rsidRPr="0050765F" w:rsidRDefault="0050765F" w:rsidP="0050765F">
      <w:pPr>
        <w:pStyle w:val="TableTitle"/>
        <w:rPr>
          <w:smallCaps w:val="0"/>
          <w:sz w:val="20"/>
          <w:szCs w:val="20"/>
          <w:lang w:val="en"/>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993"/>
        <w:gridCol w:w="639"/>
      </w:tblGrid>
      <w:tr w:rsidR="0050765F" w:rsidRPr="00BF2ABB" w14:paraId="1A164D94" w14:textId="77777777" w:rsidTr="00606D5D">
        <w:trPr>
          <w:trHeight w:val="403"/>
          <w:jc w:val="center"/>
        </w:trPr>
        <w:tc>
          <w:tcPr>
            <w:tcW w:w="2410" w:type="dxa"/>
            <w:tcBorders>
              <w:top w:val="single" w:sz="4" w:space="0" w:color="auto"/>
              <w:bottom w:val="single" w:sz="4" w:space="0" w:color="auto"/>
            </w:tcBorders>
            <w:noWrap/>
            <w:vAlign w:val="center"/>
            <w:hideMark/>
          </w:tcPr>
          <w:p w14:paraId="384C3D47" w14:textId="77777777" w:rsidR="0050765F" w:rsidRPr="00BF2ABB" w:rsidRDefault="0050765F" w:rsidP="00606D5D">
            <w:pPr>
              <w:jc w:val="center"/>
              <w:rPr>
                <w:b/>
                <w:bCs/>
                <w:color w:val="000000" w:themeColor="text1"/>
                <w:sz w:val="16"/>
                <w:szCs w:val="16"/>
                <w:lang w:val="es-CO" w:eastAsia="es-ES"/>
              </w:rPr>
            </w:pPr>
            <w:proofErr w:type="spellStart"/>
            <w:r w:rsidRPr="00BF2ABB">
              <w:rPr>
                <w:b/>
                <w:bCs/>
                <w:color w:val="000000" w:themeColor="text1"/>
                <w:sz w:val="16"/>
                <w:szCs w:val="16"/>
                <w:lang w:val="es-CO" w:eastAsia="es-ES"/>
              </w:rPr>
              <w:t>Par</w:t>
            </w:r>
            <w:r>
              <w:rPr>
                <w:b/>
                <w:bCs/>
                <w:color w:val="000000" w:themeColor="text1"/>
                <w:sz w:val="16"/>
                <w:szCs w:val="16"/>
                <w:lang w:val="es-CO" w:eastAsia="es-ES"/>
              </w:rPr>
              <w:t>a</w:t>
            </w:r>
            <w:r w:rsidRPr="00BF2ABB">
              <w:rPr>
                <w:b/>
                <w:bCs/>
                <w:color w:val="000000" w:themeColor="text1"/>
                <w:sz w:val="16"/>
                <w:szCs w:val="16"/>
                <w:lang w:val="es-CO" w:eastAsia="es-ES"/>
              </w:rPr>
              <w:t>met</w:t>
            </w:r>
            <w:r>
              <w:rPr>
                <w:b/>
                <w:bCs/>
                <w:color w:val="000000" w:themeColor="text1"/>
                <w:sz w:val="16"/>
                <w:szCs w:val="16"/>
                <w:lang w:val="es-CO" w:eastAsia="es-ES"/>
              </w:rPr>
              <w:t>er</w:t>
            </w:r>
            <w:r w:rsidRPr="00BF2ABB">
              <w:rPr>
                <w:b/>
                <w:bCs/>
                <w:color w:val="000000" w:themeColor="text1"/>
                <w:sz w:val="16"/>
                <w:szCs w:val="16"/>
                <w:lang w:val="es-CO" w:eastAsia="es-ES"/>
              </w:rPr>
              <w:t>s</w:t>
            </w:r>
            <w:proofErr w:type="spellEnd"/>
          </w:p>
        </w:tc>
        <w:tc>
          <w:tcPr>
            <w:tcW w:w="992" w:type="dxa"/>
            <w:tcBorders>
              <w:top w:val="single" w:sz="4" w:space="0" w:color="auto"/>
              <w:bottom w:val="single" w:sz="4" w:space="0" w:color="auto"/>
            </w:tcBorders>
            <w:noWrap/>
            <w:vAlign w:val="center"/>
            <w:hideMark/>
          </w:tcPr>
          <w:p w14:paraId="5FD78F41" w14:textId="77777777" w:rsidR="0050765F" w:rsidRPr="00BF2ABB" w:rsidRDefault="0050765F" w:rsidP="00606D5D">
            <w:pPr>
              <w:jc w:val="center"/>
              <w:rPr>
                <w:b/>
                <w:bCs/>
                <w:color w:val="000000" w:themeColor="text1"/>
                <w:sz w:val="16"/>
                <w:szCs w:val="16"/>
                <w:lang w:val="es-CO" w:eastAsia="es-ES"/>
              </w:rPr>
            </w:pPr>
            <w:proofErr w:type="spellStart"/>
            <w:r>
              <w:rPr>
                <w:b/>
                <w:bCs/>
                <w:color w:val="000000" w:themeColor="text1"/>
                <w:sz w:val="16"/>
                <w:szCs w:val="16"/>
                <w:lang w:val="es-CO" w:eastAsia="es-ES"/>
              </w:rPr>
              <w:t>Value</w:t>
            </w:r>
            <w:proofErr w:type="spellEnd"/>
          </w:p>
        </w:tc>
        <w:tc>
          <w:tcPr>
            <w:tcW w:w="993" w:type="dxa"/>
            <w:tcBorders>
              <w:top w:val="single" w:sz="4" w:space="0" w:color="auto"/>
              <w:bottom w:val="single" w:sz="4" w:space="0" w:color="auto"/>
            </w:tcBorders>
            <w:noWrap/>
            <w:vAlign w:val="center"/>
            <w:hideMark/>
          </w:tcPr>
          <w:p w14:paraId="6B9F8EDF" w14:textId="77777777" w:rsidR="0050765F" w:rsidRPr="00BF2ABB" w:rsidRDefault="0050765F" w:rsidP="00606D5D">
            <w:pPr>
              <w:jc w:val="center"/>
              <w:rPr>
                <w:b/>
                <w:bCs/>
                <w:color w:val="000000" w:themeColor="text1"/>
                <w:sz w:val="16"/>
                <w:szCs w:val="16"/>
                <w:lang w:val="es-CO" w:eastAsia="es-ES"/>
              </w:rPr>
            </w:pPr>
            <w:proofErr w:type="spellStart"/>
            <w:r>
              <w:rPr>
                <w:b/>
                <w:bCs/>
                <w:color w:val="000000" w:themeColor="text1"/>
                <w:sz w:val="16"/>
                <w:szCs w:val="16"/>
                <w:lang w:val="es-CO" w:eastAsia="es-ES"/>
              </w:rPr>
              <w:t>Unit</w:t>
            </w:r>
            <w:r w:rsidRPr="00BF2ABB">
              <w:rPr>
                <w:b/>
                <w:bCs/>
                <w:color w:val="000000" w:themeColor="text1"/>
                <w:sz w:val="16"/>
                <w:szCs w:val="16"/>
                <w:lang w:val="es-CO" w:eastAsia="es-ES"/>
              </w:rPr>
              <w:t>s</w:t>
            </w:r>
            <w:proofErr w:type="spellEnd"/>
          </w:p>
        </w:tc>
        <w:tc>
          <w:tcPr>
            <w:tcW w:w="639" w:type="dxa"/>
            <w:tcBorders>
              <w:top w:val="single" w:sz="4" w:space="0" w:color="auto"/>
              <w:bottom w:val="single" w:sz="4" w:space="0" w:color="auto"/>
            </w:tcBorders>
            <w:vAlign w:val="center"/>
          </w:tcPr>
          <w:p w14:paraId="6338EE2E" w14:textId="77777777" w:rsidR="0050765F" w:rsidRPr="00BF2ABB" w:rsidRDefault="0050765F" w:rsidP="00606D5D">
            <w:pPr>
              <w:jc w:val="center"/>
              <w:rPr>
                <w:b/>
                <w:bCs/>
                <w:color w:val="000000" w:themeColor="text1"/>
                <w:sz w:val="16"/>
                <w:szCs w:val="16"/>
                <w:lang w:val="es-CO" w:eastAsia="es-ES"/>
              </w:rPr>
            </w:pPr>
            <w:r>
              <w:rPr>
                <w:b/>
                <w:bCs/>
                <w:color w:val="000000" w:themeColor="text1"/>
                <w:sz w:val="16"/>
                <w:szCs w:val="16"/>
                <w:lang w:val="es-CO" w:eastAsia="es-ES"/>
              </w:rPr>
              <w:t>Ref.</w:t>
            </w:r>
          </w:p>
        </w:tc>
      </w:tr>
      <w:tr w:rsidR="0050765F" w:rsidRPr="00BF2ABB" w14:paraId="4CC3725E" w14:textId="77777777" w:rsidTr="00606D5D">
        <w:trPr>
          <w:trHeight w:val="403"/>
          <w:jc w:val="center"/>
        </w:trPr>
        <w:tc>
          <w:tcPr>
            <w:tcW w:w="2410" w:type="dxa"/>
            <w:tcBorders>
              <w:top w:val="single" w:sz="4" w:space="0" w:color="auto"/>
            </w:tcBorders>
            <w:noWrap/>
            <w:vAlign w:val="center"/>
            <w:hideMark/>
          </w:tcPr>
          <w:p w14:paraId="64AAEBB3" w14:textId="77777777" w:rsidR="0050765F" w:rsidRPr="00BF2ABB" w:rsidRDefault="0050765F" w:rsidP="00606D5D">
            <w:pPr>
              <w:rPr>
                <w:color w:val="000000" w:themeColor="text1"/>
                <w:sz w:val="16"/>
                <w:szCs w:val="16"/>
                <w:lang w:val="es-CO" w:eastAsia="es-ES"/>
              </w:rPr>
            </w:pPr>
            <w:proofErr w:type="spellStart"/>
            <w:r w:rsidRPr="00B76463">
              <w:rPr>
                <w:color w:val="000000" w:themeColor="text1"/>
                <w:sz w:val="16"/>
                <w:szCs w:val="16"/>
                <w:lang w:val="es-CO" w:eastAsia="es-ES"/>
              </w:rPr>
              <w:t>Initial</w:t>
            </w:r>
            <w:proofErr w:type="spellEnd"/>
            <w:r w:rsidRPr="00B76463">
              <w:rPr>
                <w:color w:val="000000" w:themeColor="text1"/>
                <w:sz w:val="16"/>
                <w:szCs w:val="16"/>
                <w:lang w:val="es-CO" w:eastAsia="es-ES"/>
              </w:rPr>
              <w:t xml:space="preserve"> </w:t>
            </w:r>
            <w:proofErr w:type="spellStart"/>
            <w:r w:rsidRPr="00B76463">
              <w:rPr>
                <w:color w:val="000000" w:themeColor="text1"/>
                <w:sz w:val="16"/>
                <w:szCs w:val="16"/>
                <w:lang w:val="es-CO" w:eastAsia="es-ES"/>
              </w:rPr>
              <w:t>Population</w:t>
            </w:r>
            <w:proofErr w:type="spellEnd"/>
          </w:p>
        </w:tc>
        <w:tc>
          <w:tcPr>
            <w:tcW w:w="992" w:type="dxa"/>
            <w:tcBorders>
              <w:top w:val="single" w:sz="4" w:space="0" w:color="auto"/>
            </w:tcBorders>
            <w:noWrap/>
            <w:vAlign w:val="center"/>
            <w:hideMark/>
          </w:tcPr>
          <w:p w14:paraId="0C211011"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6.840.120</w:t>
            </w:r>
          </w:p>
        </w:tc>
        <w:tc>
          <w:tcPr>
            <w:tcW w:w="993" w:type="dxa"/>
            <w:tcBorders>
              <w:top w:val="single" w:sz="4" w:space="0" w:color="auto"/>
            </w:tcBorders>
            <w:noWrap/>
            <w:vAlign w:val="center"/>
            <w:hideMark/>
          </w:tcPr>
          <w:p w14:paraId="6B720E13" w14:textId="31235175" w:rsidR="0050765F" w:rsidRPr="00BF2ABB" w:rsidRDefault="000A4795" w:rsidP="00606D5D">
            <w:pPr>
              <w:jc w:val="center"/>
              <w:rPr>
                <w:color w:val="000000" w:themeColor="text1"/>
                <w:sz w:val="16"/>
                <w:szCs w:val="16"/>
                <w:lang w:val="es-CO" w:eastAsia="es-ES"/>
              </w:rPr>
            </w:pPr>
            <w:proofErr w:type="spellStart"/>
            <w:r>
              <w:rPr>
                <w:color w:val="000000" w:themeColor="text1"/>
                <w:sz w:val="16"/>
                <w:szCs w:val="16"/>
                <w:lang w:val="es-CO" w:eastAsia="es-ES"/>
              </w:rPr>
              <w:t>Person</w:t>
            </w:r>
            <w:proofErr w:type="spellEnd"/>
          </w:p>
        </w:tc>
        <w:tc>
          <w:tcPr>
            <w:tcW w:w="639" w:type="dxa"/>
            <w:tcBorders>
              <w:top w:val="single" w:sz="4" w:space="0" w:color="auto"/>
            </w:tcBorders>
            <w:vAlign w:val="center"/>
          </w:tcPr>
          <w:p w14:paraId="1192EE0F"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[29</w:t>
            </w:r>
            <w:r w:rsidRPr="00BF2ABB">
              <w:rPr>
                <w:color w:val="000000" w:themeColor="text1"/>
                <w:sz w:val="16"/>
                <w:szCs w:val="16"/>
                <w:lang w:val="es-CO" w:eastAsia="es-ES"/>
              </w:rPr>
              <w:t>]</w:t>
            </w:r>
          </w:p>
        </w:tc>
      </w:tr>
      <w:tr w:rsidR="0050765F" w:rsidRPr="00BF2ABB" w14:paraId="11764ED1" w14:textId="77777777" w:rsidTr="00606D5D">
        <w:trPr>
          <w:trHeight w:val="403"/>
          <w:jc w:val="center"/>
        </w:trPr>
        <w:tc>
          <w:tcPr>
            <w:tcW w:w="2410" w:type="dxa"/>
            <w:noWrap/>
            <w:vAlign w:val="center"/>
            <w:hideMark/>
          </w:tcPr>
          <w:p w14:paraId="01074D7B" w14:textId="77777777" w:rsidR="0050765F" w:rsidRPr="00BF2ABB" w:rsidRDefault="0050765F" w:rsidP="00606D5D">
            <w:pPr>
              <w:rPr>
                <w:color w:val="000000" w:themeColor="text1"/>
                <w:sz w:val="16"/>
                <w:szCs w:val="16"/>
                <w:lang w:val="es-CO" w:eastAsia="es-ES"/>
              </w:rPr>
            </w:pPr>
            <w:proofErr w:type="spellStart"/>
            <w:r w:rsidRPr="00B76463">
              <w:rPr>
                <w:color w:val="000000" w:themeColor="text1"/>
                <w:sz w:val="16"/>
                <w:szCs w:val="16"/>
                <w:lang w:val="es-CO" w:eastAsia="es-ES"/>
              </w:rPr>
              <w:t>Initial</w:t>
            </w:r>
            <w:proofErr w:type="spellEnd"/>
            <w:r w:rsidRPr="00B76463">
              <w:rPr>
                <w:color w:val="000000" w:themeColor="text1"/>
                <w:sz w:val="16"/>
                <w:szCs w:val="16"/>
                <w:lang w:val="es-CO" w:eastAsia="es-ES"/>
              </w:rPr>
              <w:t xml:space="preserve"> </w:t>
            </w:r>
            <w:proofErr w:type="spellStart"/>
            <w:r w:rsidRPr="00B76463">
              <w:rPr>
                <w:color w:val="000000" w:themeColor="text1"/>
                <w:sz w:val="16"/>
                <w:szCs w:val="16"/>
                <w:lang w:val="es-CO" w:eastAsia="es-ES"/>
              </w:rPr>
              <w:t>private</w:t>
            </w:r>
            <w:proofErr w:type="spellEnd"/>
            <w:r w:rsidRPr="00B76463">
              <w:rPr>
                <w:color w:val="000000" w:themeColor="text1"/>
                <w:sz w:val="16"/>
                <w:szCs w:val="16"/>
                <w:lang w:val="es-CO" w:eastAsia="es-ES"/>
              </w:rPr>
              <w:t xml:space="preserve"> </w:t>
            </w:r>
            <w:proofErr w:type="spellStart"/>
            <w:r w:rsidRPr="00B76463">
              <w:rPr>
                <w:color w:val="000000" w:themeColor="text1"/>
                <w:sz w:val="16"/>
                <w:szCs w:val="16"/>
                <w:lang w:val="es-CO" w:eastAsia="es-ES"/>
              </w:rPr>
              <w:t>vehicles</w:t>
            </w:r>
            <w:proofErr w:type="spellEnd"/>
          </w:p>
        </w:tc>
        <w:tc>
          <w:tcPr>
            <w:tcW w:w="992" w:type="dxa"/>
            <w:noWrap/>
            <w:vAlign w:val="center"/>
            <w:hideMark/>
          </w:tcPr>
          <w:p w14:paraId="1034062F"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698.893</w:t>
            </w:r>
          </w:p>
        </w:tc>
        <w:tc>
          <w:tcPr>
            <w:tcW w:w="993" w:type="dxa"/>
            <w:noWrap/>
            <w:vAlign w:val="center"/>
            <w:hideMark/>
          </w:tcPr>
          <w:p w14:paraId="36DDE9C8" w14:textId="77777777" w:rsidR="0050765F" w:rsidRPr="00BF2ABB" w:rsidRDefault="0050765F" w:rsidP="00606D5D">
            <w:pPr>
              <w:jc w:val="center"/>
              <w:rPr>
                <w:color w:val="000000" w:themeColor="text1"/>
                <w:sz w:val="16"/>
                <w:szCs w:val="16"/>
                <w:lang w:val="es-CO" w:eastAsia="es-ES"/>
              </w:rPr>
            </w:pPr>
            <w:proofErr w:type="spellStart"/>
            <w:r>
              <w:rPr>
                <w:color w:val="000000" w:themeColor="text1"/>
                <w:sz w:val="16"/>
                <w:szCs w:val="16"/>
                <w:lang w:val="es-CO" w:eastAsia="es-ES"/>
              </w:rPr>
              <w:t>Vehicle</w:t>
            </w:r>
            <w:r w:rsidRPr="00BF2ABB">
              <w:rPr>
                <w:color w:val="000000" w:themeColor="text1"/>
                <w:sz w:val="16"/>
                <w:szCs w:val="16"/>
                <w:lang w:val="es-CO" w:eastAsia="es-ES"/>
              </w:rPr>
              <w:t>s</w:t>
            </w:r>
            <w:proofErr w:type="spellEnd"/>
          </w:p>
        </w:tc>
        <w:tc>
          <w:tcPr>
            <w:tcW w:w="639" w:type="dxa"/>
            <w:vAlign w:val="center"/>
          </w:tcPr>
          <w:p w14:paraId="7A5E5F2E"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[30</w:t>
            </w:r>
            <w:r w:rsidRPr="00BF2ABB">
              <w:rPr>
                <w:color w:val="000000" w:themeColor="text1"/>
                <w:sz w:val="16"/>
                <w:szCs w:val="16"/>
                <w:lang w:val="es-CO" w:eastAsia="es-ES"/>
              </w:rPr>
              <w:t>]</w:t>
            </w:r>
          </w:p>
        </w:tc>
      </w:tr>
      <w:tr w:rsidR="0050765F" w:rsidRPr="00BF2ABB" w14:paraId="4CF6EB5A" w14:textId="77777777" w:rsidTr="00606D5D">
        <w:trPr>
          <w:trHeight w:val="403"/>
          <w:jc w:val="center"/>
        </w:trPr>
        <w:tc>
          <w:tcPr>
            <w:tcW w:w="2410" w:type="dxa"/>
            <w:noWrap/>
            <w:vAlign w:val="center"/>
            <w:hideMark/>
          </w:tcPr>
          <w:p w14:paraId="02BA5902" w14:textId="77777777" w:rsidR="0050765F" w:rsidRPr="00E0212A" w:rsidRDefault="0050765F" w:rsidP="00606D5D">
            <w:pPr>
              <w:rPr>
                <w:color w:val="000000" w:themeColor="text1"/>
                <w:sz w:val="16"/>
                <w:szCs w:val="16"/>
                <w:lang w:eastAsia="es-ES"/>
              </w:rPr>
            </w:pPr>
            <w:proofErr w:type="spellStart"/>
            <w:r w:rsidRPr="00E0212A">
              <w:rPr>
                <w:color w:val="000000" w:themeColor="text1"/>
                <w:sz w:val="16"/>
                <w:szCs w:val="16"/>
                <w:lang w:eastAsia="es-ES"/>
              </w:rPr>
              <w:t>Avg</w:t>
            </w:r>
            <w:proofErr w:type="spellEnd"/>
            <w:r w:rsidRPr="00E0212A">
              <w:rPr>
                <w:color w:val="000000" w:themeColor="text1"/>
                <w:sz w:val="16"/>
                <w:szCs w:val="16"/>
                <w:lang w:eastAsia="es-ES"/>
              </w:rPr>
              <w:t xml:space="preserve"> gasoline vehicle fuel efficiency</w:t>
            </w:r>
          </w:p>
        </w:tc>
        <w:tc>
          <w:tcPr>
            <w:tcW w:w="992" w:type="dxa"/>
            <w:noWrap/>
            <w:vAlign w:val="center"/>
            <w:hideMark/>
          </w:tcPr>
          <w:p w14:paraId="41F5543A"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11/100</w:t>
            </w:r>
          </w:p>
        </w:tc>
        <w:tc>
          <w:tcPr>
            <w:tcW w:w="993" w:type="dxa"/>
            <w:noWrap/>
            <w:vAlign w:val="center"/>
            <w:hideMark/>
          </w:tcPr>
          <w:p w14:paraId="7BAD1F3E"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L/Km</w:t>
            </w:r>
          </w:p>
        </w:tc>
        <w:tc>
          <w:tcPr>
            <w:tcW w:w="639" w:type="dxa"/>
            <w:vAlign w:val="center"/>
          </w:tcPr>
          <w:p w14:paraId="3B948D20"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[31</w:t>
            </w:r>
            <w:r w:rsidRPr="00BF2ABB">
              <w:rPr>
                <w:color w:val="000000" w:themeColor="text1"/>
                <w:sz w:val="16"/>
                <w:szCs w:val="16"/>
                <w:lang w:val="es-CO" w:eastAsia="es-ES"/>
              </w:rPr>
              <w:t>]</w:t>
            </w:r>
          </w:p>
        </w:tc>
      </w:tr>
      <w:tr w:rsidR="0050765F" w:rsidRPr="00BF2ABB" w14:paraId="79DE4114" w14:textId="77777777" w:rsidTr="00606D5D">
        <w:trPr>
          <w:trHeight w:val="403"/>
          <w:jc w:val="center"/>
        </w:trPr>
        <w:tc>
          <w:tcPr>
            <w:tcW w:w="2410" w:type="dxa"/>
            <w:noWrap/>
            <w:vAlign w:val="center"/>
            <w:hideMark/>
          </w:tcPr>
          <w:p w14:paraId="37AFB6A9" w14:textId="77777777" w:rsidR="0050765F" w:rsidRPr="00E0212A" w:rsidRDefault="0050765F" w:rsidP="00606D5D">
            <w:pPr>
              <w:rPr>
                <w:color w:val="000000" w:themeColor="text1"/>
                <w:sz w:val="16"/>
                <w:szCs w:val="16"/>
                <w:lang w:eastAsia="es-ES"/>
              </w:rPr>
            </w:pPr>
            <w:proofErr w:type="spellStart"/>
            <w:r w:rsidRPr="00E0212A">
              <w:rPr>
                <w:color w:val="000000" w:themeColor="text1"/>
                <w:sz w:val="16"/>
                <w:szCs w:val="16"/>
                <w:lang w:eastAsia="es-ES"/>
              </w:rPr>
              <w:t>Avg</w:t>
            </w:r>
            <w:proofErr w:type="spellEnd"/>
            <w:r w:rsidRPr="00E0212A">
              <w:rPr>
                <w:color w:val="000000" w:themeColor="text1"/>
                <w:sz w:val="16"/>
                <w:szCs w:val="16"/>
                <w:lang w:eastAsia="es-ES"/>
              </w:rPr>
              <w:t xml:space="preserve"> diesel vehicle fuel efficiency</w:t>
            </w:r>
          </w:p>
        </w:tc>
        <w:tc>
          <w:tcPr>
            <w:tcW w:w="992" w:type="dxa"/>
            <w:noWrap/>
            <w:vAlign w:val="center"/>
            <w:hideMark/>
          </w:tcPr>
          <w:p w14:paraId="6AFF3880"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9,8/100</w:t>
            </w:r>
          </w:p>
        </w:tc>
        <w:tc>
          <w:tcPr>
            <w:tcW w:w="993" w:type="dxa"/>
            <w:noWrap/>
            <w:vAlign w:val="center"/>
            <w:hideMark/>
          </w:tcPr>
          <w:p w14:paraId="5C276ECC"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L/Km</w:t>
            </w:r>
          </w:p>
        </w:tc>
        <w:tc>
          <w:tcPr>
            <w:tcW w:w="639" w:type="dxa"/>
            <w:vAlign w:val="center"/>
          </w:tcPr>
          <w:p w14:paraId="6FD28251"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[31</w:t>
            </w:r>
            <w:r w:rsidRPr="00BF2ABB">
              <w:rPr>
                <w:color w:val="000000" w:themeColor="text1"/>
                <w:sz w:val="16"/>
                <w:szCs w:val="16"/>
                <w:lang w:val="es-CO" w:eastAsia="es-ES"/>
              </w:rPr>
              <w:t>]</w:t>
            </w:r>
          </w:p>
        </w:tc>
      </w:tr>
      <w:tr w:rsidR="0050765F" w:rsidRPr="00BF2ABB" w14:paraId="51C54AA4" w14:textId="77777777" w:rsidTr="00606D5D">
        <w:trPr>
          <w:trHeight w:val="403"/>
          <w:jc w:val="center"/>
        </w:trPr>
        <w:tc>
          <w:tcPr>
            <w:tcW w:w="2410" w:type="dxa"/>
            <w:noWrap/>
            <w:vAlign w:val="center"/>
            <w:hideMark/>
          </w:tcPr>
          <w:p w14:paraId="5E738C95" w14:textId="77777777" w:rsidR="0050765F" w:rsidRPr="00E0212A" w:rsidRDefault="0050765F" w:rsidP="00606D5D">
            <w:pPr>
              <w:rPr>
                <w:color w:val="000000" w:themeColor="text1"/>
                <w:sz w:val="16"/>
                <w:szCs w:val="16"/>
                <w:lang w:eastAsia="es-ES"/>
              </w:rPr>
            </w:pPr>
            <w:proofErr w:type="spellStart"/>
            <w:r w:rsidRPr="00E0212A">
              <w:rPr>
                <w:color w:val="000000" w:themeColor="text1"/>
                <w:sz w:val="16"/>
                <w:szCs w:val="16"/>
                <w:lang w:eastAsia="es-ES"/>
              </w:rPr>
              <w:t>Avg</w:t>
            </w:r>
            <w:proofErr w:type="spellEnd"/>
            <w:r w:rsidRPr="00E0212A">
              <w:rPr>
                <w:color w:val="000000" w:themeColor="text1"/>
                <w:sz w:val="16"/>
                <w:szCs w:val="16"/>
                <w:lang w:eastAsia="es-ES"/>
              </w:rPr>
              <w:t xml:space="preserve"> natural gas vehicle fuel efficiency</w:t>
            </w:r>
          </w:p>
        </w:tc>
        <w:tc>
          <w:tcPr>
            <w:tcW w:w="992" w:type="dxa"/>
            <w:noWrap/>
            <w:vAlign w:val="center"/>
            <w:hideMark/>
          </w:tcPr>
          <w:p w14:paraId="11E514C3"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0.011/100</w:t>
            </w:r>
          </w:p>
        </w:tc>
        <w:tc>
          <w:tcPr>
            <w:tcW w:w="993" w:type="dxa"/>
            <w:noWrap/>
            <w:vAlign w:val="center"/>
            <w:hideMark/>
          </w:tcPr>
          <w:p w14:paraId="1C5A2E25"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m3/km</w:t>
            </w:r>
          </w:p>
        </w:tc>
        <w:tc>
          <w:tcPr>
            <w:tcW w:w="639" w:type="dxa"/>
            <w:vAlign w:val="center"/>
          </w:tcPr>
          <w:p w14:paraId="4AA908D9"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[31</w:t>
            </w:r>
            <w:r w:rsidRPr="00BF2ABB">
              <w:rPr>
                <w:color w:val="000000" w:themeColor="text1"/>
                <w:sz w:val="16"/>
                <w:szCs w:val="16"/>
                <w:lang w:val="es-CO" w:eastAsia="es-ES"/>
              </w:rPr>
              <w:t>]</w:t>
            </w:r>
          </w:p>
        </w:tc>
      </w:tr>
      <w:tr w:rsidR="0050765F" w:rsidRPr="00BF2ABB" w14:paraId="22F88C48" w14:textId="77777777" w:rsidTr="00606D5D">
        <w:trPr>
          <w:trHeight w:val="403"/>
          <w:jc w:val="center"/>
        </w:trPr>
        <w:tc>
          <w:tcPr>
            <w:tcW w:w="2410" w:type="dxa"/>
            <w:noWrap/>
            <w:vAlign w:val="center"/>
            <w:hideMark/>
          </w:tcPr>
          <w:p w14:paraId="18CD5F4E" w14:textId="77777777" w:rsidR="0050765F" w:rsidRPr="00E0212A" w:rsidRDefault="0050765F" w:rsidP="00606D5D">
            <w:pPr>
              <w:rPr>
                <w:color w:val="000000" w:themeColor="text1"/>
                <w:sz w:val="16"/>
                <w:szCs w:val="16"/>
                <w:lang w:eastAsia="es-ES"/>
              </w:rPr>
            </w:pPr>
            <w:proofErr w:type="spellStart"/>
            <w:r w:rsidRPr="00E0212A">
              <w:rPr>
                <w:color w:val="000000" w:themeColor="text1"/>
                <w:sz w:val="16"/>
                <w:szCs w:val="16"/>
                <w:lang w:eastAsia="es-ES"/>
              </w:rPr>
              <w:t>Avg</w:t>
            </w:r>
            <w:proofErr w:type="spellEnd"/>
            <w:r w:rsidRPr="00E0212A">
              <w:rPr>
                <w:color w:val="000000" w:themeColor="text1"/>
                <w:sz w:val="16"/>
                <w:szCs w:val="16"/>
                <w:lang w:eastAsia="es-ES"/>
              </w:rPr>
              <w:t xml:space="preserve"> diesel BRT fuel efficiency</w:t>
            </w:r>
          </w:p>
        </w:tc>
        <w:tc>
          <w:tcPr>
            <w:tcW w:w="992" w:type="dxa"/>
            <w:noWrap/>
            <w:vAlign w:val="center"/>
            <w:hideMark/>
          </w:tcPr>
          <w:p w14:paraId="19CDF221"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35/100</w:t>
            </w:r>
          </w:p>
        </w:tc>
        <w:tc>
          <w:tcPr>
            <w:tcW w:w="993" w:type="dxa"/>
            <w:noWrap/>
            <w:vAlign w:val="center"/>
            <w:hideMark/>
          </w:tcPr>
          <w:p w14:paraId="0CCE97B6"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L/Km</w:t>
            </w:r>
          </w:p>
        </w:tc>
        <w:tc>
          <w:tcPr>
            <w:tcW w:w="639" w:type="dxa"/>
            <w:vAlign w:val="center"/>
          </w:tcPr>
          <w:p w14:paraId="6C9ECBAD"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[31</w:t>
            </w:r>
            <w:r w:rsidRPr="00BF2ABB">
              <w:rPr>
                <w:color w:val="000000" w:themeColor="text1"/>
                <w:sz w:val="16"/>
                <w:szCs w:val="16"/>
                <w:lang w:val="es-CO" w:eastAsia="es-ES"/>
              </w:rPr>
              <w:t>]</w:t>
            </w:r>
          </w:p>
        </w:tc>
      </w:tr>
      <w:tr w:rsidR="0050765F" w:rsidRPr="00BF2ABB" w14:paraId="3704D014" w14:textId="77777777" w:rsidTr="00606D5D">
        <w:trPr>
          <w:trHeight w:val="403"/>
          <w:jc w:val="center"/>
        </w:trPr>
        <w:tc>
          <w:tcPr>
            <w:tcW w:w="2410" w:type="dxa"/>
            <w:noWrap/>
            <w:vAlign w:val="center"/>
            <w:hideMark/>
          </w:tcPr>
          <w:p w14:paraId="342A774E" w14:textId="77777777" w:rsidR="0050765F" w:rsidRPr="00E0212A" w:rsidRDefault="0050765F" w:rsidP="00606D5D">
            <w:pPr>
              <w:rPr>
                <w:color w:val="000000" w:themeColor="text1"/>
                <w:sz w:val="16"/>
                <w:szCs w:val="16"/>
                <w:lang w:eastAsia="es-ES"/>
              </w:rPr>
            </w:pPr>
            <w:proofErr w:type="spellStart"/>
            <w:r w:rsidRPr="00E0212A">
              <w:rPr>
                <w:color w:val="000000" w:themeColor="text1"/>
                <w:sz w:val="16"/>
                <w:szCs w:val="16"/>
                <w:lang w:eastAsia="es-ES"/>
              </w:rPr>
              <w:t>Avg</w:t>
            </w:r>
            <w:proofErr w:type="spellEnd"/>
            <w:r w:rsidRPr="00E0212A">
              <w:rPr>
                <w:color w:val="000000" w:themeColor="text1"/>
                <w:sz w:val="16"/>
                <w:szCs w:val="16"/>
                <w:lang w:eastAsia="es-ES"/>
              </w:rPr>
              <w:t xml:space="preserve"> diesel bus fuel efficiency</w:t>
            </w:r>
          </w:p>
        </w:tc>
        <w:tc>
          <w:tcPr>
            <w:tcW w:w="992" w:type="dxa"/>
            <w:noWrap/>
            <w:vAlign w:val="center"/>
            <w:hideMark/>
          </w:tcPr>
          <w:p w14:paraId="5C2FBA4F"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25/100</w:t>
            </w:r>
          </w:p>
        </w:tc>
        <w:tc>
          <w:tcPr>
            <w:tcW w:w="993" w:type="dxa"/>
            <w:noWrap/>
            <w:vAlign w:val="center"/>
            <w:hideMark/>
          </w:tcPr>
          <w:p w14:paraId="2E0B53C6"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L/Km</w:t>
            </w:r>
          </w:p>
        </w:tc>
        <w:tc>
          <w:tcPr>
            <w:tcW w:w="639" w:type="dxa"/>
            <w:vAlign w:val="center"/>
          </w:tcPr>
          <w:p w14:paraId="03999C10"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[31</w:t>
            </w:r>
            <w:r w:rsidRPr="00BF2ABB">
              <w:rPr>
                <w:color w:val="000000" w:themeColor="text1"/>
                <w:sz w:val="16"/>
                <w:szCs w:val="16"/>
                <w:lang w:val="es-CO" w:eastAsia="es-ES"/>
              </w:rPr>
              <w:t>]</w:t>
            </w:r>
          </w:p>
        </w:tc>
      </w:tr>
      <w:tr w:rsidR="0050765F" w:rsidRPr="00BF2ABB" w14:paraId="697A950A" w14:textId="77777777" w:rsidTr="00606D5D">
        <w:trPr>
          <w:trHeight w:val="403"/>
          <w:jc w:val="center"/>
        </w:trPr>
        <w:tc>
          <w:tcPr>
            <w:tcW w:w="2410" w:type="dxa"/>
            <w:noWrap/>
            <w:vAlign w:val="center"/>
            <w:hideMark/>
          </w:tcPr>
          <w:p w14:paraId="4EAF66EE" w14:textId="77777777" w:rsidR="0050765F" w:rsidRPr="00E0212A" w:rsidRDefault="0050765F" w:rsidP="00606D5D">
            <w:pPr>
              <w:rPr>
                <w:color w:val="000000" w:themeColor="text1"/>
                <w:sz w:val="16"/>
                <w:szCs w:val="16"/>
                <w:lang w:eastAsia="es-ES"/>
              </w:rPr>
            </w:pPr>
            <w:proofErr w:type="spellStart"/>
            <w:r w:rsidRPr="00E0212A">
              <w:rPr>
                <w:color w:val="000000" w:themeColor="text1"/>
                <w:sz w:val="16"/>
                <w:szCs w:val="16"/>
                <w:lang w:eastAsia="es-ES"/>
              </w:rPr>
              <w:t>Avg</w:t>
            </w:r>
            <w:proofErr w:type="spellEnd"/>
            <w:r w:rsidRPr="00E0212A">
              <w:rPr>
                <w:color w:val="000000" w:themeColor="text1"/>
                <w:sz w:val="16"/>
                <w:szCs w:val="16"/>
                <w:lang w:eastAsia="es-ES"/>
              </w:rPr>
              <w:t xml:space="preserve"> gasoline Taxi fuel efficiency</w:t>
            </w:r>
          </w:p>
        </w:tc>
        <w:tc>
          <w:tcPr>
            <w:tcW w:w="992" w:type="dxa"/>
            <w:noWrap/>
            <w:vAlign w:val="center"/>
            <w:hideMark/>
          </w:tcPr>
          <w:p w14:paraId="3A0CA63B"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9/100</w:t>
            </w:r>
          </w:p>
        </w:tc>
        <w:tc>
          <w:tcPr>
            <w:tcW w:w="993" w:type="dxa"/>
            <w:noWrap/>
            <w:vAlign w:val="center"/>
            <w:hideMark/>
          </w:tcPr>
          <w:p w14:paraId="1252033F"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L/Km</w:t>
            </w:r>
          </w:p>
        </w:tc>
        <w:tc>
          <w:tcPr>
            <w:tcW w:w="639" w:type="dxa"/>
            <w:vAlign w:val="center"/>
          </w:tcPr>
          <w:p w14:paraId="6F534B3F"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[31</w:t>
            </w:r>
            <w:r w:rsidRPr="00BF2ABB">
              <w:rPr>
                <w:color w:val="000000" w:themeColor="text1"/>
                <w:sz w:val="16"/>
                <w:szCs w:val="16"/>
                <w:lang w:val="es-CO" w:eastAsia="es-ES"/>
              </w:rPr>
              <w:t>]</w:t>
            </w:r>
          </w:p>
        </w:tc>
      </w:tr>
      <w:tr w:rsidR="0050765F" w:rsidRPr="00BF2ABB" w14:paraId="18F133D0" w14:textId="77777777" w:rsidTr="00606D5D">
        <w:trPr>
          <w:trHeight w:val="403"/>
          <w:jc w:val="center"/>
        </w:trPr>
        <w:tc>
          <w:tcPr>
            <w:tcW w:w="2410" w:type="dxa"/>
            <w:noWrap/>
            <w:vAlign w:val="center"/>
            <w:hideMark/>
          </w:tcPr>
          <w:p w14:paraId="1EB482DE" w14:textId="77777777" w:rsidR="0050765F" w:rsidRPr="00BF2ABB" w:rsidRDefault="0050765F" w:rsidP="00606D5D">
            <w:pPr>
              <w:rPr>
                <w:color w:val="000000" w:themeColor="text1"/>
                <w:sz w:val="16"/>
                <w:szCs w:val="16"/>
                <w:lang w:val="es-CO" w:eastAsia="es-ES"/>
              </w:rPr>
            </w:pPr>
            <w:proofErr w:type="spellStart"/>
            <w:r w:rsidRPr="00094F86">
              <w:rPr>
                <w:color w:val="000000" w:themeColor="text1"/>
                <w:sz w:val="16"/>
                <w:szCs w:val="16"/>
                <w:lang w:val="es-CO" w:eastAsia="es-ES"/>
              </w:rPr>
              <w:t>Avg</w:t>
            </w:r>
            <w:proofErr w:type="spellEnd"/>
            <w:r w:rsidRPr="00094F86">
              <w:rPr>
                <w:color w:val="000000" w:themeColor="text1"/>
                <w:sz w:val="16"/>
                <w:szCs w:val="16"/>
                <w:lang w:val="es-CO" w:eastAsia="es-ES"/>
              </w:rPr>
              <w:t xml:space="preserve"> natural gas Taxi fuel </w:t>
            </w:r>
            <w:proofErr w:type="spellStart"/>
            <w:r w:rsidRPr="00094F86">
              <w:rPr>
                <w:color w:val="000000" w:themeColor="text1"/>
                <w:sz w:val="16"/>
                <w:szCs w:val="16"/>
                <w:lang w:val="es-CO" w:eastAsia="es-ES"/>
              </w:rPr>
              <w:t>efficiency</w:t>
            </w:r>
            <w:proofErr w:type="spellEnd"/>
          </w:p>
        </w:tc>
        <w:tc>
          <w:tcPr>
            <w:tcW w:w="992" w:type="dxa"/>
            <w:noWrap/>
            <w:vAlign w:val="center"/>
            <w:hideMark/>
          </w:tcPr>
          <w:p w14:paraId="0E0D3726"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0.011/100</w:t>
            </w:r>
          </w:p>
        </w:tc>
        <w:tc>
          <w:tcPr>
            <w:tcW w:w="993" w:type="dxa"/>
            <w:noWrap/>
            <w:vAlign w:val="center"/>
            <w:hideMark/>
          </w:tcPr>
          <w:p w14:paraId="2C095EA2"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m3/Km</w:t>
            </w:r>
          </w:p>
        </w:tc>
        <w:tc>
          <w:tcPr>
            <w:tcW w:w="639" w:type="dxa"/>
            <w:vAlign w:val="center"/>
          </w:tcPr>
          <w:p w14:paraId="7E803EAB"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[31</w:t>
            </w:r>
            <w:r w:rsidRPr="00BF2ABB">
              <w:rPr>
                <w:color w:val="000000" w:themeColor="text1"/>
                <w:sz w:val="16"/>
                <w:szCs w:val="16"/>
                <w:lang w:val="es-CO" w:eastAsia="es-ES"/>
              </w:rPr>
              <w:t>]</w:t>
            </w:r>
          </w:p>
        </w:tc>
      </w:tr>
      <w:tr w:rsidR="0050765F" w:rsidRPr="00BF2ABB" w14:paraId="77401A4D" w14:textId="77777777" w:rsidTr="00606D5D">
        <w:trPr>
          <w:trHeight w:val="403"/>
          <w:jc w:val="center"/>
        </w:trPr>
        <w:tc>
          <w:tcPr>
            <w:tcW w:w="2410" w:type="dxa"/>
            <w:noWrap/>
            <w:vAlign w:val="center"/>
          </w:tcPr>
          <w:p w14:paraId="785D789E" w14:textId="77777777" w:rsidR="0050765F" w:rsidRPr="00BF2ABB" w:rsidRDefault="0050765F" w:rsidP="00606D5D">
            <w:pPr>
              <w:rPr>
                <w:color w:val="000000" w:themeColor="text1"/>
                <w:sz w:val="16"/>
                <w:szCs w:val="16"/>
                <w:lang w:val="es-CO" w:eastAsia="es-ES"/>
              </w:rPr>
            </w:pPr>
            <w:proofErr w:type="spellStart"/>
            <w:r w:rsidRPr="00094F86">
              <w:rPr>
                <w:color w:val="000000" w:themeColor="text1"/>
                <w:sz w:val="16"/>
                <w:szCs w:val="16"/>
                <w:lang w:val="es-CO" w:eastAsia="es-ES"/>
              </w:rPr>
              <w:t>Energy</w:t>
            </w:r>
            <w:proofErr w:type="spellEnd"/>
            <w:r w:rsidRPr="00094F86">
              <w:rPr>
                <w:color w:val="000000" w:themeColor="text1"/>
                <w:sz w:val="16"/>
                <w:szCs w:val="16"/>
                <w:lang w:val="es-CO" w:eastAsia="es-ES"/>
              </w:rPr>
              <w:t xml:space="preserve"> </w:t>
            </w:r>
            <w:proofErr w:type="spellStart"/>
            <w:r w:rsidRPr="00094F86">
              <w:rPr>
                <w:color w:val="000000" w:themeColor="text1"/>
                <w:sz w:val="16"/>
                <w:szCs w:val="16"/>
                <w:lang w:val="es-CO" w:eastAsia="es-ES"/>
              </w:rPr>
              <w:t>content</w:t>
            </w:r>
            <w:proofErr w:type="spellEnd"/>
            <w:r w:rsidRPr="00094F86">
              <w:rPr>
                <w:color w:val="000000" w:themeColor="text1"/>
                <w:sz w:val="16"/>
                <w:szCs w:val="16"/>
                <w:lang w:val="es-CO" w:eastAsia="es-ES"/>
              </w:rPr>
              <w:t xml:space="preserve"> of </w:t>
            </w:r>
            <w:proofErr w:type="spellStart"/>
            <w:r w:rsidRPr="00094F86">
              <w:rPr>
                <w:color w:val="000000" w:themeColor="text1"/>
                <w:sz w:val="16"/>
                <w:szCs w:val="16"/>
                <w:lang w:val="es-CO" w:eastAsia="es-ES"/>
              </w:rPr>
              <w:t>gasoline</w:t>
            </w:r>
            <w:proofErr w:type="spellEnd"/>
          </w:p>
        </w:tc>
        <w:tc>
          <w:tcPr>
            <w:tcW w:w="992" w:type="dxa"/>
            <w:noWrap/>
            <w:vAlign w:val="center"/>
          </w:tcPr>
          <w:p w14:paraId="34E93F3C"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0.0344</w:t>
            </w:r>
          </w:p>
        </w:tc>
        <w:tc>
          <w:tcPr>
            <w:tcW w:w="993" w:type="dxa"/>
            <w:noWrap/>
            <w:vAlign w:val="center"/>
          </w:tcPr>
          <w:p w14:paraId="732BA1C2"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GJ/L</w:t>
            </w:r>
          </w:p>
        </w:tc>
        <w:tc>
          <w:tcPr>
            <w:tcW w:w="639" w:type="dxa"/>
            <w:vAlign w:val="center"/>
          </w:tcPr>
          <w:p w14:paraId="6BE97BD2"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[32</w:t>
            </w:r>
            <w:r w:rsidRPr="00BF2ABB">
              <w:rPr>
                <w:color w:val="000000" w:themeColor="text1"/>
                <w:sz w:val="16"/>
                <w:szCs w:val="16"/>
                <w:lang w:val="es-CO" w:eastAsia="es-ES"/>
              </w:rPr>
              <w:t>]</w:t>
            </w:r>
          </w:p>
        </w:tc>
      </w:tr>
      <w:tr w:rsidR="0050765F" w:rsidRPr="00BF2ABB" w14:paraId="684D7E73" w14:textId="77777777" w:rsidTr="00606D5D">
        <w:trPr>
          <w:trHeight w:val="403"/>
          <w:jc w:val="center"/>
        </w:trPr>
        <w:tc>
          <w:tcPr>
            <w:tcW w:w="2410" w:type="dxa"/>
            <w:noWrap/>
            <w:vAlign w:val="center"/>
          </w:tcPr>
          <w:p w14:paraId="713DF547" w14:textId="77777777" w:rsidR="0050765F" w:rsidRPr="00BF2ABB" w:rsidRDefault="0050765F" w:rsidP="00606D5D">
            <w:pPr>
              <w:rPr>
                <w:color w:val="000000" w:themeColor="text1"/>
                <w:sz w:val="16"/>
                <w:szCs w:val="16"/>
                <w:lang w:val="es-CO" w:eastAsia="es-ES"/>
              </w:rPr>
            </w:pPr>
            <w:proofErr w:type="spellStart"/>
            <w:r>
              <w:rPr>
                <w:color w:val="000000" w:themeColor="text1"/>
                <w:sz w:val="16"/>
                <w:szCs w:val="16"/>
                <w:lang w:val="es-CO" w:eastAsia="es-ES"/>
              </w:rPr>
              <w:t>Energy</w:t>
            </w:r>
            <w:proofErr w:type="spellEnd"/>
            <w:r>
              <w:rPr>
                <w:color w:val="000000" w:themeColor="text1"/>
                <w:sz w:val="16"/>
                <w:szCs w:val="16"/>
                <w:lang w:val="es-CO" w:eastAsia="es-ES"/>
              </w:rPr>
              <w:t xml:space="preserve"> </w:t>
            </w:r>
            <w:proofErr w:type="spellStart"/>
            <w:r>
              <w:rPr>
                <w:color w:val="000000" w:themeColor="text1"/>
                <w:sz w:val="16"/>
                <w:szCs w:val="16"/>
                <w:lang w:val="es-CO" w:eastAsia="es-ES"/>
              </w:rPr>
              <w:t>content</w:t>
            </w:r>
            <w:proofErr w:type="spellEnd"/>
            <w:r>
              <w:rPr>
                <w:color w:val="000000" w:themeColor="text1"/>
                <w:sz w:val="16"/>
                <w:szCs w:val="16"/>
                <w:lang w:val="es-CO" w:eastAsia="es-ES"/>
              </w:rPr>
              <w:t xml:space="preserve"> of </w:t>
            </w:r>
            <w:proofErr w:type="spellStart"/>
            <w:r>
              <w:rPr>
                <w:color w:val="000000" w:themeColor="text1"/>
                <w:sz w:val="16"/>
                <w:szCs w:val="16"/>
                <w:lang w:val="es-CO" w:eastAsia="es-ES"/>
              </w:rPr>
              <w:t>die</w:t>
            </w:r>
            <w:r w:rsidRPr="00BF2ABB">
              <w:rPr>
                <w:color w:val="000000" w:themeColor="text1"/>
                <w:sz w:val="16"/>
                <w:szCs w:val="16"/>
                <w:lang w:val="es-CO" w:eastAsia="es-ES"/>
              </w:rPr>
              <w:t>sel</w:t>
            </w:r>
            <w:proofErr w:type="spellEnd"/>
          </w:p>
        </w:tc>
        <w:tc>
          <w:tcPr>
            <w:tcW w:w="992" w:type="dxa"/>
            <w:noWrap/>
            <w:vAlign w:val="center"/>
          </w:tcPr>
          <w:p w14:paraId="70F7A7FD"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0.0371</w:t>
            </w:r>
          </w:p>
        </w:tc>
        <w:tc>
          <w:tcPr>
            <w:tcW w:w="993" w:type="dxa"/>
            <w:noWrap/>
            <w:vAlign w:val="center"/>
          </w:tcPr>
          <w:p w14:paraId="67F49735"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GJ/L</w:t>
            </w:r>
          </w:p>
        </w:tc>
        <w:tc>
          <w:tcPr>
            <w:tcW w:w="639" w:type="dxa"/>
            <w:vAlign w:val="center"/>
          </w:tcPr>
          <w:p w14:paraId="2D59C7AA"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[32</w:t>
            </w:r>
            <w:r w:rsidRPr="00BF2ABB">
              <w:rPr>
                <w:color w:val="000000" w:themeColor="text1"/>
                <w:sz w:val="16"/>
                <w:szCs w:val="16"/>
                <w:lang w:val="es-CO" w:eastAsia="es-ES"/>
              </w:rPr>
              <w:t>]</w:t>
            </w:r>
          </w:p>
        </w:tc>
      </w:tr>
      <w:tr w:rsidR="0050765F" w:rsidRPr="00BF2ABB" w14:paraId="3F5005C9" w14:textId="77777777" w:rsidTr="00606D5D">
        <w:trPr>
          <w:trHeight w:val="403"/>
          <w:jc w:val="center"/>
        </w:trPr>
        <w:tc>
          <w:tcPr>
            <w:tcW w:w="2410" w:type="dxa"/>
            <w:noWrap/>
            <w:vAlign w:val="center"/>
          </w:tcPr>
          <w:p w14:paraId="7FF8FCBB" w14:textId="77777777" w:rsidR="0050765F" w:rsidRPr="00E0212A" w:rsidRDefault="0050765F" w:rsidP="00606D5D">
            <w:pPr>
              <w:rPr>
                <w:color w:val="000000" w:themeColor="text1"/>
                <w:sz w:val="16"/>
                <w:szCs w:val="16"/>
                <w:lang w:eastAsia="es-ES"/>
              </w:rPr>
            </w:pPr>
            <w:r w:rsidRPr="00E0212A">
              <w:rPr>
                <w:color w:val="000000" w:themeColor="text1"/>
                <w:sz w:val="16"/>
                <w:szCs w:val="16"/>
                <w:lang w:eastAsia="es-ES"/>
              </w:rPr>
              <w:t>Energy content of Natural gas</w:t>
            </w:r>
          </w:p>
        </w:tc>
        <w:tc>
          <w:tcPr>
            <w:tcW w:w="992" w:type="dxa"/>
            <w:noWrap/>
            <w:vAlign w:val="center"/>
          </w:tcPr>
          <w:p w14:paraId="0E0494E9"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0.0356</w:t>
            </w:r>
          </w:p>
        </w:tc>
        <w:tc>
          <w:tcPr>
            <w:tcW w:w="993" w:type="dxa"/>
            <w:noWrap/>
            <w:vAlign w:val="center"/>
          </w:tcPr>
          <w:p w14:paraId="60D1759A"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GJ/m</w:t>
            </w:r>
            <w:r w:rsidRPr="00BF2ABB">
              <w:rPr>
                <w:color w:val="000000" w:themeColor="text1"/>
                <w:sz w:val="16"/>
                <w:szCs w:val="16"/>
                <w:vertAlign w:val="superscript"/>
                <w:lang w:val="es-CO" w:eastAsia="es-ES"/>
              </w:rPr>
              <w:t>3</w:t>
            </w:r>
          </w:p>
        </w:tc>
        <w:tc>
          <w:tcPr>
            <w:tcW w:w="639" w:type="dxa"/>
            <w:vAlign w:val="center"/>
          </w:tcPr>
          <w:p w14:paraId="5E996F4F"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[32</w:t>
            </w:r>
            <w:r w:rsidRPr="00BF2ABB">
              <w:rPr>
                <w:color w:val="000000" w:themeColor="text1"/>
                <w:sz w:val="16"/>
                <w:szCs w:val="16"/>
                <w:lang w:val="es-CO" w:eastAsia="es-ES"/>
              </w:rPr>
              <w:t>]</w:t>
            </w:r>
          </w:p>
        </w:tc>
      </w:tr>
      <w:tr w:rsidR="0050765F" w:rsidRPr="00BF2ABB" w14:paraId="1916D4D9" w14:textId="77777777" w:rsidTr="00606D5D">
        <w:trPr>
          <w:trHeight w:val="403"/>
          <w:jc w:val="center"/>
        </w:trPr>
        <w:tc>
          <w:tcPr>
            <w:tcW w:w="2410" w:type="dxa"/>
            <w:noWrap/>
            <w:vAlign w:val="center"/>
            <w:hideMark/>
          </w:tcPr>
          <w:p w14:paraId="7BFAD2EC" w14:textId="77777777" w:rsidR="0050765F" w:rsidRPr="00BF2ABB" w:rsidRDefault="0050765F" w:rsidP="00606D5D">
            <w:pPr>
              <w:rPr>
                <w:color w:val="000000" w:themeColor="text1"/>
                <w:sz w:val="16"/>
                <w:szCs w:val="16"/>
                <w:lang w:val="es-CO" w:eastAsia="es-ES"/>
              </w:rPr>
            </w:pPr>
            <w:proofErr w:type="spellStart"/>
            <w:r w:rsidRPr="00094F86">
              <w:rPr>
                <w:color w:val="000000" w:themeColor="text1"/>
                <w:sz w:val="16"/>
                <w:szCs w:val="16"/>
                <w:lang w:val="es-CO" w:eastAsia="es-ES"/>
              </w:rPr>
              <w:t>Gasoline</w:t>
            </w:r>
            <w:proofErr w:type="spellEnd"/>
            <w:r w:rsidRPr="00094F86">
              <w:rPr>
                <w:color w:val="000000" w:themeColor="text1"/>
                <w:sz w:val="16"/>
                <w:szCs w:val="16"/>
                <w:lang w:val="es-CO" w:eastAsia="es-ES"/>
              </w:rPr>
              <w:t xml:space="preserve"> </w:t>
            </w:r>
            <w:proofErr w:type="spellStart"/>
            <w:r w:rsidRPr="00094F86">
              <w:rPr>
                <w:color w:val="000000" w:themeColor="text1"/>
                <w:sz w:val="16"/>
                <w:szCs w:val="16"/>
                <w:lang w:val="es-CO" w:eastAsia="es-ES"/>
              </w:rPr>
              <w:t>emission</w:t>
            </w:r>
            <w:proofErr w:type="spellEnd"/>
            <w:r w:rsidRPr="00094F86">
              <w:rPr>
                <w:color w:val="000000" w:themeColor="text1"/>
                <w:sz w:val="16"/>
                <w:szCs w:val="16"/>
                <w:lang w:val="es-CO" w:eastAsia="es-ES"/>
              </w:rPr>
              <w:t xml:space="preserve"> factor</w:t>
            </w:r>
          </w:p>
        </w:tc>
        <w:tc>
          <w:tcPr>
            <w:tcW w:w="992" w:type="dxa"/>
            <w:noWrap/>
            <w:vAlign w:val="center"/>
            <w:hideMark/>
          </w:tcPr>
          <w:p w14:paraId="607A9EF2"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69,25/1000</w:t>
            </w:r>
          </w:p>
        </w:tc>
        <w:tc>
          <w:tcPr>
            <w:tcW w:w="993" w:type="dxa"/>
            <w:noWrap/>
            <w:vAlign w:val="center"/>
            <w:hideMark/>
          </w:tcPr>
          <w:p w14:paraId="5B308374"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tonCO2/GJ</w:t>
            </w:r>
          </w:p>
        </w:tc>
        <w:tc>
          <w:tcPr>
            <w:tcW w:w="639" w:type="dxa"/>
            <w:vAlign w:val="center"/>
          </w:tcPr>
          <w:p w14:paraId="6F2FD54D"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[33</w:t>
            </w:r>
            <w:r w:rsidRPr="00BF2ABB">
              <w:rPr>
                <w:color w:val="000000" w:themeColor="text1"/>
                <w:sz w:val="16"/>
                <w:szCs w:val="16"/>
                <w:lang w:val="es-CO" w:eastAsia="es-ES"/>
              </w:rPr>
              <w:t>]</w:t>
            </w:r>
          </w:p>
        </w:tc>
      </w:tr>
      <w:tr w:rsidR="0050765F" w:rsidRPr="00BF2ABB" w14:paraId="71788EC8" w14:textId="77777777" w:rsidTr="00606D5D">
        <w:trPr>
          <w:trHeight w:val="403"/>
          <w:jc w:val="center"/>
        </w:trPr>
        <w:tc>
          <w:tcPr>
            <w:tcW w:w="2410" w:type="dxa"/>
            <w:noWrap/>
            <w:vAlign w:val="center"/>
            <w:hideMark/>
          </w:tcPr>
          <w:p w14:paraId="1BF055A3" w14:textId="77777777" w:rsidR="0050765F" w:rsidRPr="00BF2ABB" w:rsidRDefault="0050765F" w:rsidP="00606D5D">
            <w:pPr>
              <w:rPr>
                <w:color w:val="000000" w:themeColor="text1"/>
                <w:sz w:val="16"/>
                <w:szCs w:val="16"/>
                <w:lang w:val="es-CO" w:eastAsia="es-ES"/>
              </w:rPr>
            </w:pPr>
            <w:proofErr w:type="spellStart"/>
            <w:r w:rsidRPr="00094F86">
              <w:rPr>
                <w:color w:val="000000" w:themeColor="text1"/>
                <w:sz w:val="16"/>
                <w:szCs w:val="16"/>
                <w:lang w:val="es-CO" w:eastAsia="es-ES"/>
              </w:rPr>
              <w:t>Diesel</w:t>
            </w:r>
            <w:proofErr w:type="spellEnd"/>
            <w:r w:rsidRPr="00094F86">
              <w:rPr>
                <w:color w:val="000000" w:themeColor="text1"/>
                <w:sz w:val="16"/>
                <w:szCs w:val="16"/>
                <w:lang w:val="es-CO" w:eastAsia="es-ES"/>
              </w:rPr>
              <w:t xml:space="preserve"> </w:t>
            </w:r>
            <w:proofErr w:type="spellStart"/>
            <w:r w:rsidRPr="00094F86">
              <w:rPr>
                <w:color w:val="000000" w:themeColor="text1"/>
                <w:sz w:val="16"/>
                <w:szCs w:val="16"/>
                <w:lang w:val="es-CO" w:eastAsia="es-ES"/>
              </w:rPr>
              <w:t>emission</w:t>
            </w:r>
            <w:proofErr w:type="spellEnd"/>
            <w:r w:rsidRPr="00094F86">
              <w:rPr>
                <w:color w:val="000000" w:themeColor="text1"/>
                <w:sz w:val="16"/>
                <w:szCs w:val="16"/>
                <w:lang w:val="es-CO" w:eastAsia="es-ES"/>
              </w:rPr>
              <w:t xml:space="preserve"> factor</w:t>
            </w:r>
          </w:p>
        </w:tc>
        <w:tc>
          <w:tcPr>
            <w:tcW w:w="992" w:type="dxa"/>
            <w:noWrap/>
            <w:vAlign w:val="center"/>
            <w:hideMark/>
          </w:tcPr>
          <w:p w14:paraId="6E1208A8"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74,01/1000</w:t>
            </w:r>
          </w:p>
        </w:tc>
        <w:tc>
          <w:tcPr>
            <w:tcW w:w="993" w:type="dxa"/>
            <w:noWrap/>
            <w:vAlign w:val="center"/>
            <w:hideMark/>
          </w:tcPr>
          <w:p w14:paraId="44E308F2"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tonCO2/GJ</w:t>
            </w:r>
          </w:p>
        </w:tc>
        <w:tc>
          <w:tcPr>
            <w:tcW w:w="639" w:type="dxa"/>
            <w:vAlign w:val="center"/>
          </w:tcPr>
          <w:p w14:paraId="54DB05C1"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[33</w:t>
            </w:r>
            <w:r w:rsidRPr="00BF2ABB">
              <w:rPr>
                <w:color w:val="000000" w:themeColor="text1"/>
                <w:sz w:val="16"/>
                <w:szCs w:val="16"/>
                <w:lang w:val="es-CO" w:eastAsia="es-ES"/>
              </w:rPr>
              <w:t>]</w:t>
            </w:r>
          </w:p>
        </w:tc>
      </w:tr>
      <w:tr w:rsidR="0050765F" w:rsidRPr="00BF2ABB" w14:paraId="3674B84C" w14:textId="77777777" w:rsidTr="00606D5D">
        <w:trPr>
          <w:trHeight w:val="403"/>
          <w:jc w:val="center"/>
        </w:trPr>
        <w:tc>
          <w:tcPr>
            <w:tcW w:w="2410" w:type="dxa"/>
            <w:noWrap/>
            <w:vAlign w:val="center"/>
            <w:hideMark/>
          </w:tcPr>
          <w:p w14:paraId="390A8E69" w14:textId="77777777" w:rsidR="0050765F" w:rsidRPr="00BF2ABB" w:rsidRDefault="0050765F" w:rsidP="00606D5D">
            <w:pPr>
              <w:rPr>
                <w:color w:val="000000" w:themeColor="text1"/>
                <w:sz w:val="16"/>
                <w:szCs w:val="16"/>
                <w:lang w:val="es-CO" w:eastAsia="es-ES"/>
              </w:rPr>
            </w:pPr>
            <w:r w:rsidRPr="00094F86">
              <w:rPr>
                <w:color w:val="000000" w:themeColor="text1"/>
                <w:sz w:val="16"/>
                <w:szCs w:val="16"/>
                <w:lang w:val="es-CO" w:eastAsia="es-ES"/>
              </w:rPr>
              <w:t xml:space="preserve">Natural gas </w:t>
            </w:r>
            <w:proofErr w:type="spellStart"/>
            <w:r w:rsidRPr="00094F86">
              <w:rPr>
                <w:color w:val="000000" w:themeColor="text1"/>
                <w:sz w:val="16"/>
                <w:szCs w:val="16"/>
                <w:lang w:val="es-CO" w:eastAsia="es-ES"/>
              </w:rPr>
              <w:t>emission</w:t>
            </w:r>
            <w:proofErr w:type="spellEnd"/>
            <w:r w:rsidRPr="00094F86">
              <w:rPr>
                <w:color w:val="000000" w:themeColor="text1"/>
                <w:sz w:val="16"/>
                <w:szCs w:val="16"/>
                <w:lang w:val="es-CO" w:eastAsia="es-ES"/>
              </w:rPr>
              <w:t xml:space="preserve"> factor</w:t>
            </w:r>
          </w:p>
        </w:tc>
        <w:tc>
          <w:tcPr>
            <w:tcW w:w="992" w:type="dxa"/>
            <w:noWrap/>
            <w:vAlign w:val="center"/>
            <w:hideMark/>
          </w:tcPr>
          <w:p w14:paraId="65062071"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56,1/1000</w:t>
            </w:r>
          </w:p>
        </w:tc>
        <w:tc>
          <w:tcPr>
            <w:tcW w:w="993" w:type="dxa"/>
            <w:noWrap/>
            <w:vAlign w:val="center"/>
            <w:hideMark/>
          </w:tcPr>
          <w:p w14:paraId="37178823" w14:textId="77777777" w:rsidR="0050765F" w:rsidRPr="00BF2ABB" w:rsidRDefault="0050765F" w:rsidP="00606D5D">
            <w:pPr>
              <w:jc w:val="center"/>
              <w:rPr>
                <w:color w:val="000000" w:themeColor="text1"/>
                <w:sz w:val="16"/>
                <w:szCs w:val="16"/>
                <w:lang w:val="es-CO" w:eastAsia="es-ES"/>
              </w:rPr>
            </w:pPr>
            <w:r w:rsidRPr="00BF2ABB">
              <w:rPr>
                <w:color w:val="000000" w:themeColor="text1"/>
                <w:sz w:val="16"/>
                <w:szCs w:val="16"/>
                <w:lang w:val="es-CO" w:eastAsia="es-ES"/>
              </w:rPr>
              <w:t>tonCO2/GJ</w:t>
            </w:r>
          </w:p>
        </w:tc>
        <w:tc>
          <w:tcPr>
            <w:tcW w:w="639" w:type="dxa"/>
            <w:vAlign w:val="center"/>
          </w:tcPr>
          <w:p w14:paraId="1CCE6E93" w14:textId="77777777" w:rsidR="0050765F" w:rsidRPr="00BF2ABB" w:rsidRDefault="0050765F" w:rsidP="00606D5D">
            <w:pPr>
              <w:jc w:val="center"/>
              <w:rPr>
                <w:color w:val="000000" w:themeColor="text1"/>
                <w:sz w:val="16"/>
                <w:szCs w:val="16"/>
                <w:lang w:val="es-CO" w:eastAsia="es-ES"/>
              </w:rPr>
            </w:pPr>
            <w:r>
              <w:rPr>
                <w:color w:val="000000" w:themeColor="text1"/>
                <w:sz w:val="16"/>
                <w:szCs w:val="16"/>
                <w:lang w:val="es-CO" w:eastAsia="es-ES"/>
              </w:rPr>
              <w:t>[33</w:t>
            </w:r>
            <w:r w:rsidRPr="00BF2ABB">
              <w:rPr>
                <w:color w:val="000000" w:themeColor="text1"/>
                <w:sz w:val="16"/>
                <w:szCs w:val="16"/>
                <w:lang w:val="es-CO" w:eastAsia="es-ES"/>
              </w:rPr>
              <w:t>]</w:t>
            </w:r>
          </w:p>
        </w:tc>
      </w:tr>
    </w:tbl>
    <w:p w14:paraId="36CF0C9C" w14:textId="77777777" w:rsidR="0050765F" w:rsidRDefault="0050765F" w:rsidP="0050765F">
      <w:pPr>
        <w:jc w:val="center"/>
        <w:rPr>
          <w:lang w:val="es-CO"/>
        </w:rPr>
      </w:pPr>
    </w:p>
    <w:p w14:paraId="5FC61A8E" w14:textId="77777777" w:rsidR="00E41846" w:rsidRPr="00E0212A" w:rsidRDefault="00E41846" w:rsidP="00E41846">
      <w:pPr>
        <w:ind w:firstLine="709"/>
        <w:jc w:val="both"/>
      </w:pPr>
      <w:r w:rsidRPr="00E0212A">
        <w:t xml:space="preserve">The following section presents the results of the simulation model that correspond to the emissions of the transport sector in the city of </w:t>
      </w:r>
      <w:r>
        <w:t>Bogota</w:t>
      </w:r>
      <w:r w:rsidRPr="00E0212A">
        <w:t xml:space="preserve"> under different scenarios.</w:t>
      </w:r>
    </w:p>
    <w:p w14:paraId="7DEBCE42" w14:textId="77777777" w:rsidR="00B07DF0" w:rsidRPr="003D5B84" w:rsidRDefault="00B07DF0" w:rsidP="00904D6D">
      <w:pPr>
        <w:rPr>
          <w:b/>
          <w:bCs/>
        </w:rPr>
      </w:pPr>
    </w:p>
    <w:p w14:paraId="5A54C006" w14:textId="00994841" w:rsidR="00904D6D" w:rsidRPr="003D5B84" w:rsidRDefault="002A4DF8" w:rsidP="00D74C5F">
      <w:pPr>
        <w:numPr>
          <w:ilvl w:val="0"/>
          <w:numId w:val="15"/>
        </w:numPr>
        <w:tabs>
          <w:tab w:val="left" w:pos="426"/>
        </w:tabs>
        <w:ind w:left="426" w:hanging="426"/>
        <w:rPr>
          <w:b/>
          <w:bCs/>
          <w:lang w:val="id-ID"/>
        </w:rPr>
      </w:pPr>
      <w:r>
        <w:rPr>
          <w:b/>
          <w:bCs/>
          <w:lang w:val="id-ID"/>
        </w:rPr>
        <w:t>RESULTS</w:t>
      </w:r>
    </w:p>
    <w:p w14:paraId="276EB607" w14:textId="7FCD8DD0" w:rsidR="00FB1AA7" w:rsidRPr="00E0212A" w:rsidRDefault="00FB1AA7" w:rsidP="00A51621">
      <w:pPr>
        <w:autoSpaceDE w:val="0"/>
        <w:autoSpaceDN w:val="0"/>
        <w:adjustRightInd w:val="0"/>
        <w:ind w:firstLine="709"/>
        <w:jc w:val="both"/>
      </w:pPr>
      <w:r w:rsidRPr="00E0212A">
        <w:t xml:space="preserve">Four simulation scenarios have been proposed, which are the result of several workshops conducted in Colombia with mobility experts. The </w:t>
      </w:r>
      <w:r w:rsidR="00A51621">
        <w:t>four scenarios presented in Figure</w:t>
      </w:r>
      <w:r w:rsidRPr="00E0212A">
        <w:t xml:space="preserve"> 3 combine the two most uncertain variables in the system: urban development policy and environmental policy, which are represented on the x and y axis. The urban development policy encourages construction on the territory. Environmental policy promotes cleaner forms of transport.</w:t>
      </w:r>
    </w:p>
    <w:p w14:paraId="0BC667C4" w14:textId="77777777" w:rsidR="00A51621" w:rsidRDefault="00A51621" w:rsidP="00A51621">
      <w:pPr>
        <w:autoSpaceDE w:val="0"/>
        <w:autoSpaceDN w:val="0"/>
        <w:adjustRightInd w:val="0"/>
        <w:ind w:firstLine="709"/>
        <w:jc w:val="both"/>
      </w:pPr>
    </w:p>
    <w:p w14:paraId="55877FC7" w14:textId="77777777" w:rsidR="00A51621" w:rsidRDefault="00A51621" w:rsidP="00A51621">
      <w:pPr>
        <w:autoSpaceDE w:val="0"/>
        <w:autoSpaceDN w:val="0"/>
        <w:adjustRightInd w:val="0"/>
        <w:ind w:firstLine="709"/>
        <w:jc w:val="both"/>
      </w:pPr>
    </w:p>
    <w:p w14:paraId="7B3F1165" w14:textId="77777777" w:rsidR="00A51621" w:rsidRPr="00FB1AA7" w:rsidRDefault="00A51621" w:rsidP="00A51621">
      <w:pPr>
        <w:autoSpaceDE w:val="0"/>
        <w:autoSpaceDN w:val="0"/>
        <w:adjustRightInd w:val="0"/>
        <w:jc w:val="center"/>
        <w:rPr>
          <w:lang w:val="es-CO"/>
        </w:rPr>
      </w:pPr>
      <w:r>
        <w:rPr>
          <w:noProof/>
          <w:lang w:val="es-CO" w:eastAsia="es-CO"/>
        </w:rPr>
        <w:drawing>
          <wp:inline distT="0" distB="0" distL="0" distR="0" wp14:anchorId="20D6005C" wp14:editId="006487AC">
            <wp:extent cx="4486624" cy="2839297"/>
            <wp:effectExtent l="0" t="0" r="9525"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477" cy="2839837"/>
                    </a:xfrm>
                    <a:prstGeom prst="rect">
                      <a:avLst/>
                    </a:prstGeom>
                    <a:noFill/>
                    <a:ln>
                      <a:noFill/>
                    </a:ln>
                  </pic:spPr>
                </pic:pic>
              </a:graphicData>
            </a:graphic>
          </wp:inline>
        </w:drawing>
      </w:r>
    </w:p>
    <w:p w14:paraId="3D8B3751" w14:textId="77777777" w:rsidR="00A51621" w:rsidRPr="003476F2" w:rsidRDefault="00A51621" w:rsidP="00A51621">
      <w:pPr>
        <w:jc w:val="center"/>
        <w:rPr>
          <w:lang w:val="en"/>
        </w:rPr>
      </w:pPr>
      <w:r w:rsidRPr="003476F2">
        <w:rPr>
          <w:lang w:val="en"/>
        </w:rPr>
        <w:t>Figure 3. Scenarios to study the emissions of the transport sector under different levels of urban growth.</w:t>
      </w:r>
    </w:p>
    <w:p w14:paraId="3F85456E" w14:textId="77777777" w:rsidR="00A51621" w:rsidRDefault="00A51621" w:rsidP="00606D5D">
      <w:pPr>
        <w:autoSpaceDE w:val="0"/>
        <w:autoSpaceDN w:val="0"/>
        <w:adjustRightInd w:val="0"/>
        <w:jc w:val="both"/>
      </w:pPr>
    </w:p>
    <w:p w14:paraId="5D4A0368" w14:textId="104FE3B0" w:rsidR="00FB1AA7" w:rsidRPr="00E0212A" w:rsidRDefault="00FB1AA7" w:rsidP="00A51621">
      <w:pPr>
        <w:autoSpaceDE w:val="0"/>
        <w:autoSpaceDN w:val="0"/>
        <w:adjustRightInd w:val="0"/>
        <w:ind w:firstLine="709"/>
        <w:jc w:val="both"/>
      </w:pPr>
      <w:r w:rsidRPr="00E0212A">
        <w:t>Scenario 1 is the optimistic scenario, in which an urban and environmental development policy is applied. Under this scenario, 55% of urbanization and 45% of public and green areas are considered, in addition to 5 metro lines.</w:t>
      </w:r>
    </w:p>
    <w:p w14:paraId="7B7196F4" w14:textId="5B7987EB" w:rsidR="00FB1AA7" w:rsidRPr="00E0212A" w:rsidRDefault="00FB1AA7" w:rsidP="00A51621">
      <w:pPr>
        <w:autoSpaceDE w:val="0"/>
        <w:autoSpaceDN w:val="0"/>
        <w:adjustRightInd w:val="0"/>
        <w:ind w:firstLine="709"/>
        <w:jc w:val="both"/>
      </w:pPr>
      <w:r w:rsidRPr="00E0212A">
        <w:t xml:space="preserve">Scenario 2 gives greater importance to urban development policy and does not consider an environmental policy. In this scenario, 80% of urbanization and 20% of public and green areas are </w:t>
      </w:r>
      <w:r w:rsidR="00A51621" w:rsidRPr="00E0212A">
        <w:t>considered;</w:t>
      </w:r>
      <w:r w:rsidRPr="00E0212A">
        <w:t xml:space="preserve"> additionally the metro will have 2 lines.</w:t>
      </w:r>
    </w:p>
    <w:p w14:paraId="4FB8F73D" w14:textId="34045FC3" w:rsidR="00FB1AA7" w:rsidRPr="00E0212A" w:rsidRDefault="00FB1AA7" w:rsidP="00A51621">
      <w:pPr>
        <w:autoSpaceDE w:val="0"/>
        <w:autoSpaceDN w:val="0"/>
        <w:adjustRightInd w:val="0"/>
        <w:ind w:firstLine="709"/>
        <w:jc w:val="both"/>
      </w:pPr>
      <w:r w:rsidRPr="00E0212A">
        <w:t>Scenario 3 has an environmental policy. In this scenario only 30% is urbanized and 70% is delimited for public and green areas, in addition to 3 metro lines.</w:t>
      </w:r>
    </w:p>
    <w:p w14:paraId="05F1CEE2" w14:textId="66DE5EF8" w:rsidR="00FB1AA7" w:rsidRPr="00E0212A" w:rsidRDefault="00FB1AA7" w:rsidP="00A51621">
      <w:pPr>
        <w:autoSpaceDE w:val="0"/>
        <w:autoSpaceDN w:val="0"/>
        <w:adjustRightInd w:val="0"/>
        <w:ind w:firstLine="709"/>
        <w:jc w:val="both"/>
      </w:pPr>
      <w:r w:rsidRPr="00E0212A">
        <w:t>Scenario 4 is the pessimistic</w:t>
      </w:r>
      <w:r w:rsidR="00A51621">
        <w:t xml:space="preserve"> scenario. Under this scenario </w:t>
      </w:r>
      <w:r w:rsidRPr="00E0212A">
        <w:t>high urbanization of the city is considered corresponding to 90% of the available territory and little availability of green areas, in addition to 1 metro line.</w:t>
      </w:r>
    </w:p>
    <w:p w14:paraId="289A60E9" w14:textId="58FEA6AB" w:rsidR="00FB1AA7" w:rsidRDefault="00FB1AA7" w:rsidP="00A51621">
      <w:pPr>
        <w:autoSpaceDE w:val="0"/>
        <w:autoSpaceDN w:val="0"/>
        <w:adjustRightInd w:val="0"/>
        <w:ind w:firstLine="709"/>
        <w:jc w:val="both"/>
      </w:pPr>
      <w:r w:rsidRPr="00E0212A">
        <w:t>On these scenarios the number of private vehicles, the total emissions of the transport sector and the contribution of this sector on the total emissions of the city have been analyzed.</w:t>
      </w:r>
    </w:p>
    <w:p w14:paraId="78725C72" w14:textId="24A6BFC6" w:rsidR="00FB1AA7" w:rsidRDefault="0080452B" w:rsidP="00606D5D">
      <w:pPr>
        <w:autoSpaceDE w:val="0"/>
        <w:autoSpaceDN w:val="0"/>
        <w:adjustRightInd w:val="0"/>
        <w:ind w:firstLine="709"/>
        <w:jc w:val="both"/>
      </w:pPr>
      <w:r>
        <w:t>Figure</w:t>
      </w:r>
      <w:r w:rsidR="00FB1AA7" w:rsidRPr="00606D5D">
        <w:t xml:space="preserve"> 4 shows the automotive fleet growth in the city of Bogota. It is possible to observe that in scenarios 2, 3 and 4 there is a great growth in the number of vehicles due to the lack of an environmental policy.    </w:t>
      </w:r>
    </w:p>
    <w:p w14:paraId="287E8588" w14:textId="77777777" w:rsidR="00606D5D" w:rsidRDefault="00606D5D" w:rsidP="00606D5D">
      <w:pPr>
        <w:autoSpaceDE w:val="0"/>
        <w:autoSpaceDN w:val="0"/>
        <w:adjustRightInd w:val="0"/>
        <w:ind w:firstLine="709"/>
        <w:jc w:val="both"/>
      </w:pPr>
    </w:p>
    <w:p w14:paraId="11F29E50" w14:textId="77777777" w:rsidR="00606D5D" w:rsidRPr="00FB1AA7" w:rsidRDefault="00606D5D" w:rsidP="00606D5D">
      <w:pPr>
        <w:pStyle w:val="Prrafodelista"/>
        <w:jc w:val="center"/>
        <w:rPr>
          <w:b/>
          <w:noProof/>
          <w:lang w:val="es-ES"/>
        </w:rPr>
      </w:pPr>
      <w:r>
        <w:rPr>
          <w:noProof/>
          <w:lang w:val="es-CO" w:eastAsia="es-CO"/>
        </w:rPr>
        <w:drawing>
          <wp:inline distT="0" distB="0" distL="0" distR="0" wp14:anchorId="348E871E" wp14:editId="4A31509A">
            <wp:extent cx="4244361" cy="239479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4361" cy="2394797"/>
                    </a:xfrm>
                    <a:prstGeom prst="rect">
                      <a:avLst/>
                    </a:prstGeom>
                    <a:noFill/>
                    <a:ln>
                      <a:noFill/>
                    </a:ln>
                  </pic:spPr>
                </pic:pic>
              </a:graphicData>
            </a:graphic>
          </wp:inline>
        </w:drawing>
      </w:r>
    </w:p>
    <w:p w14:paraId="23B01125" w14:textId="77777777" w:rsidR="00606D5D" w:rsidRPr="00FB1AA7" w:rsidRDefault="00606D5D" w:rsidP="00606D5D">
      <w:pPr>
        <w:jc w:val="center"/>
        <w:rPr>
          <w:sz w:val="16"/>
          <w:szCs w:val="16"/>
        </w:rPr>
      </w:pPr>
      <w:r w:rsidRPr="003476F2">
        <w:rPr>
          <w:lang w:val="en"/>
        </w:rPr>
        <w:t>Figure 4. Growth of the automotive fleet in Bogota.</w:t>
      </w:r>
    </w:p>
    <w:p w14:paraId="18D56ECD" w14:textId="77777777" w:rsidR="00606D5D" w:rsidRPr="00606D5D" w:rsidRDefault="00606D5D" w:rsidP="0080452B">
      <w:pPr>
        <w:autoSpaceDE w:val="0"/>
        <w:autoSpaceDN w:val="0"/>
        <w:adjustRightInd w:val="0"/>
        <w:jc w:val="both"/>
      </w:pPr>
    </w:p>
    <w:p w14:paraId="0FD9E880" w14:textId="26C07EFF" w:rsidR="00FB1AA7" w:rsidRDefault="00FB1AA7" w:rsidP="0080452B">
      <w:pPr>
        <w:autoSpaceDE w:val="0"/>
        <w:autoSpaceDN w:val="0"/>
        <w:adjustRightInd w:val="0"/>
        <w:ind w:firstLine="709"/>
        <w:jc w:val="both"/>
      </w:pPr>
      <w:r w:rsidRPr="00606D5D">
        <w:t>On the other hand, in scenario 1 ("optimistic" scenario) the presence of an environmental policy leads to greater use of public transport and therefore fewer vehicles.</w:t>
      </w:r>
    </w:p>
    <w:p w14:paraId="5B36605E" w14:textId="463CFB94" w:rsidR="00FB1AA7" w:rsidRDefault="0080452B" w:rsidP="0080452B">
      <w:pPr>
        <w:ind w:firstLine="709"/>
        <w:jc w:val="both"/>
        <w:rPr>
          <w:noProof/>
        </w:rPr>
      </w:pPr>
      <w:r>
        <w:rPr>
          <w:noProof/>
        </w:rPr>
        <w:t>Figure</w:t>
      </w:r>
      <w:r w:rsidR="00FB1AA7" w:rsidRPr="00E0212A">
        <w:rPr>
          <w:noProof/>
        </w:rPr>
        <w:t xml:space="preserve"> 5 shows the growth of carbon emissions in the</w:t>
      </w:r>
      <w:r w:rsidR="00FB1AA7">
        <w:rPr>
          <w:noProof/>
        </w:rPr>
        <w:t xml:space="preserve"> transport</w:t>
      </w:r>
      <w:r w:rsidR="00FB1AA7" w:rsidRPr="00E0212A">
        <w:rPr>
          <w:noProof/>
        </w:rPr>
        <w:t xml:space="preserve"> sector in Bogota. Because scenarios 2 and 4 do not have an environmental policy, there is a faster growth of emissions due to the tise on the vehicle fleet and the lower participation of the metro.</w:t>
      </w:r>
    </w:p>
    <w:p w14:paraId="41D4D474" w14:textId="77777777" w:rsidR="0080452B" w:rsidRDefault="0080452B" w:rsidP="0080452B">
      <w:pPr>
        <w:ind w:firstLine="709"/>
        <w:jc w:val="both"/>
        <w:rPr>
          <w:noProof/>
        </w:rPr>
      </w:pPr>
    </w:p>
    <w:p w14:paraId="6DE1AC2F" w14:textId="1A4E4787" w:rsidR="00FB1AA7" w:rsidRPr="0080452B" w:rsidRDefault="0080452B" w:rsidP="0080452B">
      <w:pPr>
        <w:pStyle w:val="Prrafodelista"/>
        <w:ind w:left="0"/>
        <w:jc w:val="center"/>
        <w:rPr>
          <w:b/>
        </w:rPr>
      </w:pPr>
      <w:r w:rsidRPr="00D47A19">
        <w:rPr>
          <w:noProof/>
          <w:lang w:val="es-CO" w:eastAsia="es-CO"/>
        </w:rPr>
        <w:drawing>
          <wp:inline distT="0" distB="0" distL="0" distR="0" wp14:anchorId="20573FE2" wp14:editId="255C6971">
            <wp:extent cx="4471142" cy="22720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1774" cy="2272351"/>
                    </a:xfrm>
                    <a:prstGeom prst="rect">
                      <a:avLst/>
                    </a:prstGeom>
                    <a:noFill/>
                    <a:ln>
                      <a:noFill/>
                    </a:ln>
                  </pic:spPr>
                </pic:pic>
              </a:graphicData>
            </a:graphic>
          </wp:inline>
        </w:drawing>
      </w:r>
      <w:r w:rsidRPr="00D47A19">
        <w:br/>
      </w:r>
      <w:r w:rsidRPr="003476F2">
        <w:rPr>
          <w:rFonts w:ascii="Times New Roman" w:hAnsi="Times New Roman"/>
          <w:sz w:val="20"/>
          <w:szCs w:val="20"/>
          <w:lang w:val="en" w:eastAsia="en-US"/>
        </w:rPr>
        <w:t>Figure 5. Total emissions from the transport sector in Bogota.</w:t>
      </w:r>
    </w:p>
    <w:p w14:paraId="490475D4" w14:textId="0FB62596" w:rsidR="00FB1AA7" w:rsidRPr="003476F2" w:rsidRDefault="00FB1AA7" w:rsidP="003476F2">
      <w:pPr>
        <w:ind w:firstLine="709"/>
        <w:jc w:val="both"/>
        <w:rPr>
          <w:noProof/>
        </w:rPr>
      </w:pPr>
      <w:r w:rsidRPr="00E0212A">
        <w:rPr>
          <w:noProof/>
        </w:rPr>
        <w:t xml:space="preserve">In contrast, scenarios 1 and 3 do consider an environmental policy. Under these scenarios, in scenario 1 emissions grow less than in scenario 3. In addition, scenario 1 shows growth at the beginning of the </w:t>
      </w:r>
      <w:r w:rsidRPr="00D47A19">
        <w:rPr>
          <w:noProof/>
        </w:rPr>
        <w:t>simulation period and then a decrease in emissions. This decline is due to a greater participation of the metro which is a clean mean of transport.</w:t>
      </w:r>
    </w:p>
    <w:p w14:paraId="4B2916B7" w14:textId="1BB8EDB9" w:rsidR="00FB1AA7" w:rsidRDefault="003476F2" w:rsidP="003476F2">
      <w:pPr>
        <w:ind w:firstLine="709"/>
        <w:jc w:val="both"/>
        <w:rPr>
          <w:rFonts w:ascii="Arial" w:hAnsi="Arial" w:cs="Arial"/>
          <w:color w:val="212121"/>
          <w:shd w:val="clear" w:color="auto" w:fill="FFFFFF"/>
        </w:rPr>
      </w:pPr>
      <w:r>
        <w:rPr>
          <w:noProof/>
        </w:rPr>
        <w:t>Figure</w:t>
      </w:r>
      <w:r w:rsidR="00FB1AA7" w:rsidRPr="003476F2">
        <w:rPr>
          <w:noProof/>
        </w:rPr>
        <w:t xml:space="preserve"> 6 shows the participation of the transport sector in the total emissions of the city of Bogota.</w:t>
      </w:r>
    </w:p>
    <w:p w14:paraId="0DD25701" w14:textId="77777777" w:rsidR="00FB1AA7" w:rsidRPr="00D47A19" w:rsidRDefault="00FB1AA7" w:rsidP="00FB1AA7">
      <w:pPr>
        <w:jc w:val="both"/>
        <w:rPr>
          <w:noProof/>
        </w:rPr>
      </w:pPr>
    </w:p>
    <w:p w14:paraId="02593603" w14:textId="77777777" w:rsidR="00FB1AA7" w:rsidRPr="00FB1AA7" w:rsidRDefault="00FB1AA7" w:rsidP="00FB1AA7">
      <w:pPr>
        <w:pStyle w:val="Prrafodelista"/>
        <w:ind w:left="0"/>
        <w:jc w:val="center"/>
        <w:rPr>
          <w:noProof/>
          <w:lang w:val="es-ES"/>
        </w:rPr>
      </w:pPr>
      <w:r w:rsidRPr="00D47A19">
        <w:rPr>
          <w:noProof/>
          <w:lang w:val="es-CO" w:eastAsia="es-CO"/>
        </w:rPr>
        <w:drawing>
          <wp:inline distT="0" distB="0" distL="0" distR="0" wp14:anchorId="3A55647E" wp14:editId="38BEEC4C">
            <wp:extent cx="4249909" cy="2458297"/>
            <wp:effectExtent l="0" t="0" r="0" b="57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9909" cy="2458297"/>
                    </a:xfrm>
                    <a:prstGeom prst="rect">
                      <a:avLst/>
                    </a:prstGeom>
                    <a:noFill/>
                    <a:ln>
                      <a:noFill/>
                    </a:ln>
                  </pic:spPr>
                </pic:pic>
              </a:graphicData>
            </a:graphic>
          </wp:inline>
        </w:drawing>
      </w:r>
    </w:p>
    <w:p w14:paraId="3379C82A" w14:textId="77777777" w:rsidR="00FB1AA7" w:rsidRPr="003476F2" w:rsidRDefault="00FB1AA7" w:rsidP="00FB1AA7">
      <w:pPr>
        <w:jc w:val="center"/>
        <w:rPr>
          <w:lang w:val="en"/>
        </w:rPr>
      </w:pPr>
      <w:r w:rsidRPr="003476F2">
        <w:rPr>
          <w:lang w:val="en"/>
        </w:rPr>
        <w:t>Figure 6. Participation of the transport sector in the total emissions of the city of Bogota.</w:t>
      </w:r>
    </w:p>
    <w:p w14:paraId="6200BA24" w14:textId="77777777" w:rsidR="00FB1AA7" w:rsidRPr="00D47A19" w:rsidRDefault="00FB1AA7" w:rsidP="00FB1AA7">
      <w:pPr>
        <w:ind w:left="360"/>
        <w:jc w:val="both"/>
        <w:rPr>
          <w:noProof/>
        </w:rPr>
      </w:pPr>
    </w:p>
    <w:p w14:paraId="50F1E17A" w14:textId="39904D7C" w:rsidR="00FB1AA7" w:rsidRPr="003476F2" w:rsidRDefault="00FB1AA7" w:rsidP="003476F2">
      <w:pPr>
        <w:ind w:firstLine="709"/>
        <w:jc w:val="both"/>
        <w:rPr>
          <w:noProof/>
        </w:rPr>
      </w:pPr>
      <w:r w:rsidRPr="003476F2">
        <w:rPr>
          <w:noProof/>
        </w:rPr>
        <w:t>In scenarios 2 and 4 an environmental policy is not considered, therefore the transport sector is responsible for most of the total emissions of the city of Bogota.    </w:t>
      </w:r>
    </w:p>
    <w:p w14:paraId="6A63DC76" w14:textId="54687A13" w:rsidR="00FB1AA7" w:rsidRPr="003476F2" w:rsidRDefault="00FB1AA7" w:rsidP="003476F2">
      <w:pPr>
        <w:ind w:firstLine="709"/>
        <w:jc w:val="both"/>
        <w:rPr>
          <w:noProof/>
        </w:rPr>
      </w:pPr>
      <w:r w:rsidRPr="003476F2">
        <w:rPr>
          <w:noProof/>
        </w:rPr>
        <w:t>Under scenario 3, emissions from the transport sector show a growing trend.     </w:t>
      </w:r>
    </w:p>
    <w:p w14:paraId="140D7E3A" w14:textId="77777777" w:rsidR="00FB1AA7" w:rsidRPr="003476F2" w:rsidRDefault="00FB1AA7" w:rsidP="003476F2">
      <w:pPr>
        <w:ind w:firstLine="709"/>
        <w:jc w:val="both"/>
        <w:rPr>
          <w:noProof/>
        </w:rPr>
      </w:pPr>
      <w:r w:rsidRPr="003476F2">
        <w:rPr>
          <w:noProof/>
        </w:rPr>
        <w:t>Finally, in scenario 1 (optimistic scenario), most of the emissions come from the transport sector, although the percentage of participation is lower than in the other scenarios.</w:t>
      </w:r>
    </w:p>
    <w:p w14:paraId="3499533F" w14:textId="77777777" w:rsidR="002A4DF8" w:rsidRPr="003D5B84" w:rsidRDefault="002A4DF8" w:rsidP="00904D6D">
      <w:pPr>
        <w:rPr>
          <w:b/>
          <w:bCs/>
          <w:lang w:val="id-ID"/>
        </w:rPr>
      </w:pPr>
    </w:p>
    <w:p w14:paraId="2448DC00" w14:textId="78BC4D13" w:rsidR="00904D6D" w:rsidRPr="003D5B84" w:rsidRDefault="003E0A82" w:rsidP="00D74C5F">
      <w:pPr>
        <w:numPr>
          <w:ilvl w:val="0"/>
          <w:numId w:val="15"/>
        </w:numPr>
        <w:tabs>
          <w:tab w:val="left" w:pos="426"/>
        </w:tabs>
        <w:ind w:left="426" w:hanging="426"/>
        <w:rPr>
          <w:b/>
          <w:bCs/>
          <w:lang w:val="id-ID"/>
        </w:rPr>
      </w:pPr>
      <w:r>
        <w:rPr>
          <w:b/>
          <w:bCs/>
          <w:lang w:val="es-CO"/>
        </w:rPr>
        <w:t>CONCLUSIONS</w:t>
      </w:r>
    </w:p>
    <w:p w14:paraId="6AE5C66A" w14:textId="77777777" w:rsidR="003E0A82" w:rsidRPr="00D47A19" w:rsidRDefault="003E0A82" w:rsidP="003E0A82">
      <w:pPr>
        <w:ind w:firstLine="709"/>
        <w:jc w:val="both"/>
        <w:rPr>
          <w:noProof/>
        </w:rPr>
      </w:pPr>
      <w:r w:rsidRPr="00D47A19">
        <w:rPr>
          <w:noProof/>
        </w:rPr>
        <w:t>This article uses an SD model to learn about the design of policies aimed to reduce emissions in the transport sector. Several lessons are derived from this research from the point of view of sustainable planning of cities. In particular, a comprehensive urbanization policy is necessary to effectively reduce emissions from the transport sector. This comprehensive policy implies the coexistence of a policy for urban development and an environmental policy.</w:t>
      </w:r>
    </w:p>
    <w:p w14:paraId="0BF9BBBC" w14:textId="7D3D04BC" w:rsidR="003E0A82" w:rsidRPr="00D47A19" w:rsidRDefault="003E0A82" w:rsidP="003E0A82">
      <w:pPr>
        <w:ind w:firstLine="709"/>
        <w:jc w:val="both"/>
        <w:rPr>
          <w:noProof/>
        </w:rPr>
      </w:pPr>
      <w:r w:rsidRPr="00D47A19">
        <w:rPr>
          <w:noProof/>
        </w:rPr>
        <w:t>The urban development policy facilitates the controlled growth of the city, keeping emissions from the transport sector under acceptable levels. Additionally, this policy is a complement to the environmental policy. The key variable in the design of an environmental policy is the construction of a metro in the city of Bogota, because this would significantly reduce carbon emissions, as indicated by the simulation results.</w:t>
      </w:r>
    </w:p>
    <w:p w14:paraId="06A3CC14" w14:textId="1A19173A" w:rsidR="003E0A82" w:rsidRPr="00D47A19" w:rsidRDefault="003E0A82" w:rsidP="003E0A82">
      <w:pPr>
        <w:ind w:firstLine="709"/>
        <w:jc w:val="both"/>
        <w:rPr>
          <w:noProof/>
        </w:rPr>
      </w:pPr>
      <w:r w:rsidRPr="00D47A19">
        <w:rPr>
          <w:noProof/>
        </w:rPr>
        <w:t>The SD model built for this research complies with the objective for which it was designed, that is, it allows to analyze the growth of the vehicle fleet and the effect of different policies on the carbon emissions of the transport sector.</w:t>
      </w:r>
    </w:p>
    <w:p w14:paraId="54D8D842" w14:textId="23E97B9E" w:rsidR="003E0A82" w:rsidRPr="00D47A19" w:rsidRDefault="003E0A82" w:rsidP="003E0A82">
      <w:pPr>
        <w:ind w:firstLine="709"/>
        <w:jc w:val="both"/>
        <w:rPr>
          <w:noProof/>
        </w:rPr>
      </w:pPr>
      <w:r w:rsidRPr="00D47A19">
        <w:rPr>
          <w:noProof/>
        </w:rPr>
        <w:t>The control of carbon emissions from the transport sector is crucial, since this is the sector with the highest share of total emissions. Therefore, it is necessary to study in the future the design of clear policies that help to encourage, other types of mobility, such as electric mobility and the use of bicycles.</w:t>
      </w:r>
    </w:p>
    <w:p w14:paraId="5DF91E33" w14:textId="77777777" w:rsidR="0039444E" w:rsidRDefault="0039444E" w:rsidP="0093642C">
      <w:pPr>
        <w:tabs>
          <w:tab w:val="left" w:pos="3138"/>
        </w:tabs>
        <w:rPr>
          <w:rStyle w:val="apple-style-span"/>
          <w:b/>
          <w:color w:val="000000"/>
          <w:lang w:val="pt-BR"/>
        </w:rPr>
      </w:pPr>
    </w:p>
    <w:p w14:paraId="39087CB8" w14:textId="77777777"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62A12318" w14:textId="77777777" w:rsidR="00211324" w:rsidRPr="00211324" w:rsidRDefault="00211324" w:rsidP="00211324">
      <w:pPr>
        <w:ind w:firstLine="709"/>
        <w:jc w:val="both"/>
        <w:rPr>
          <w:noProof/>
        </w:rPr>
      </w:pPr>
      <w:r w:rsidRPr="00211324">
        <w:rPr>
          <w:noProof/>
        </w:rPr>
        <w:t>This work was carried out thanks to the financial support of the project “Simulación del Metabolismo de Bogotá para su Desarrollo Sostenible” between Colciencias and Universidad Nacional de Colombia.</w:t>
      </w:r>
    </w:p>
    <w:p w14:paraId="070B2F26" w14:textId="77777777" w:rsidR="00EE7C89" w:rsidRDefault="00EE7C89" w:rsidP="00904D6D">
      <w:pPr>
        <w:rPr>
          <w:b/>
          <w:bCs/>
        </w:rPr>
      </w:pPr>
    </w:p>
    <w:p w14:paraId="531C7356" w14:textId="77777777" w:rsidR="00C35B8F" w:rsidRDefault="00F33C08" w:rsidP="00C35B8F">
      <w:pPr>
        <w:rPr>
          <w:rStyle w:val="apple-style-span"/>
          <w:b/>
          <w:color w:val="000000"/>
          <w:lang w:val="pt-BR"/>
        </w:rPr>
      </w:pPr>
      <w:r w:rsidRPr="003D5B84">
        <w:rPr>
          <w:rStyle w:val="apple-style-span"/>
          <w:b/>
          <w:color w:val="000000"/>
          <w:lang w:val="pt-BR"/>
        </w:rPr>
        <w:t>REFERENCES</w:t>
      </w:r>
    </w:p>
    <w:p w14:paraId="1151EEFF" w14:textId="51A3E166"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Petro F., Konecny V. Calculation of emissions from transport services and their use for the internalization of external costs in road transport. Procedia Engineering, 192 (2017), 677-682.</w:t>
      </w:r>
    </w:p>
    <w:p w14:paraId="31A3FDBD" w14:textId="2019F89B"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Fan, F., Lei, Y., 2016. Decomposition analysis of energy-related carbon emissions from the transportation sector in Beijing. Transp. Res. D-Transp. Environ. 42, 135</w:t>
      </w:r>
      <w:r w:rsidRPr="00AB0A82">
        <w:rPr>
          <w:rFonts w:hint="eastAsia"/>
          <w:noProof/>
          <w:sz w:val="18"/>
          <w:szCs w:val="18"/>
        </w:rPr>
        <w:t>–</w:t>
      </w:r>
      <w:r w:rsidRPr="00AB0A82">
        <w:rPr>
          <w:noProof/>
          <w:sz w:val="18"/>
          <w:szCs w:val="18"/>
        </w:rPr>
        <w:t>145.</w:t>
      </w:r>
    </w:p>
    <w:p w14:paraId="7B49F726" w14:textId="283C7DF3"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Fan J.L., Wang J.X., Li F., Yu H. and Zhang X. Energy demand and greenhouse gas emissions of urban passenger transport in the internet era: A case study of Beijin. Journal of Cleaner Production, 165 (2017), 177-189.</w:t>
      </w:r>
    </w:p>
    <w:p w14:paraId="5F9B758C" w14:textId="36AACD21"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UN (United Nations), 2016. WORLD CITIES REPORT 2016Urbanization and development: Emerging Futures from: http://wcr.unhabitat.org, (Accessed on 5 December 2016).</w:t>
      </w:r>
    </w:p>
    <w:p w14:paraId="69F968BA" w14:textId="13697A37" w:rsidR="00AB0A82" w:rsidRPr="00AB0A82" w:rsidRDefault="00AB0A82" w:rsidP="00AB0A82">
      <w:pPr>
        <w:numPr>
          <w:ilvl w:val="0"/>
          <w:numId w:val="17"/>
        </w:numPr>
        <w:tabs>
          <w:tab w:val="left" w:pos="426"/>
        </w:tabs>
        <w:ind w:left="426" w:hanging="426"/>
        <w:jc w:val="both"/>
        <w:rPr>
          <w:noProof/>
          <w:sz w:val="18"/>
          <w:szCs w:val="18"/>
        </w:rPr>
      </w:pPr>
      <w:r>
        <w:rPr>
          <w:noProof/>
          <w:sz w:val="18"/>
          <w:szCs w:val="18"/>
        </w:rPr>
        <w:t xml:space="preserve">IEA </w:t>
      </w:r>
      <w:r w:rsidRPr="00AB0A82">
        <w:rPr>
          <w:noProof/>
          <w:sz w:val="18"/>
          <w:szCs w:val="18"/>
        </w:rPr>
        <w:t>(International Energy Agency), 2016. World Energy Outlook 2016 from: http://www.iea.org/newsroom/news/2016/november/world-energy-outlook-2016. (Accessed on 5 December 2016).</w:t>
      </w:r>
    </w:p>
    <w:p w14:paraId="2033A4DA" w14:textId="301514AB"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Meng, M., Jing, K., Mander, S., 2017. Scenario analysis of CO2 emissions from China’s electric power industry. J. Clean. Prod. 142, 3101-3108. </w:t>
      </w:r>
      <w:hyperlink r:id="rId14" w:history="1">
        <w:r w:rsidRPr="00AB0A82">
          <w:rPr>
            <w:noProof/>
            <w:sz w:val="18"/>
            <w:szCs w:val="18"/>
          </w:rPr>
          <w:t>http://dx.doi.org/10.1016/j.jclepro.2016.10.157</w:t>
        </w:r>
      </w:hyperlink>
      <w:r w:rsidRPr="00AB0A82">
        <w:rPr>
          <w:noProof/>
          <w:sz w:val="18"/>
          <w:szCs w:val="18"/>
        </w:rPr>
        <w:t>.</w:t>
      </w:r>
    </w:p>
    <w:p w14:paraId="78480DA4" w14:textId="69CE7F69"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Mi, Z., Wei, Y.-M., Wang, B., Meng, J., Liu, Z., Shan, Y., Liu, J., Guan, D., 2016a. Socioeconomic impact assessment of China’s CO2 emissions peak prior to 2030. J. Clean. Prod. 142, 2227-2236. http://dx.doi.org/10.1016/j.jclepro.2016.11.055.</w:t>
      </w:r>
    </w:p>
    <w:p w14:paraId="7F405398" w14:textId="7B3B45D8"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Sen, P., Roy, M., Pal, P., 2016. Application of ARIMA for forecasting energy consumption and GHG emission: a case study of an Indian pig iron manufacturing organization. Energy 116, 1031-1038. http://dx.doi.org/10.1016/j.energy.2016.10.068.</w:t>
      </w:r>
    </w:p>
    <w:p w14:paraId="61D3FAB5" w14:textId="3449943B"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Merkel, E., Mckenna, R., Fehrenbach, D., Fichtner, W., 2016. A model-based assessmentof climate and energy targets for the German residential heat system. J. Clean. Prod. 142, 3151-3173. </w:t>
      </w:r>
      <w:hyperlink r:id="rId15" w:history="1">
        <w:r w:rsidRPr="00AB0A82">
          <w:rPr>
            <w:noProof/>
            <w:sz w:val="18"/>
            <w:szCs w:val="18"/>
          </w:rPr>
          <w:t>http://dx.doi.org/10.1016/j.jclepro.2016.10.153</w:t>
        </w:r>
      </w:hyperlink>
      <w:r w:rsidRPr="00AB0A82">
        <w:rPr>
          <w:noProof/>
          <w:sz w:val="18"/>
          <w:szCs w:val="18"/>
        </w:rPr>
        <w:t>.</w:t>
      </w:r>
    </w:p>
    <w:p w14:paraId="1C45E1C6" w14:textId="05C86C36"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Chai, J., Lu, Q.-Y., Wang, S.-Y., Lai, K.K., 2016. Analysis of road transportation energy consumption demand in China. Transp. Res. Part D. Transp. Environ. 48, 112-124. </w:t>
      </w:r>
      <w:hyperlink r:id="rId16" w:history="1">
        <w:r w:rsidRPr="00AB0A82">
          <w:rPr>
            <w:noProof/>
            <w:sz w:val="18"/>
            <w:szCs w:val="18"/>
          </w:rPr>
          <w:t>http://dx.doi.org/10.1016/j.trd.2016.08.009</w:t>
        </w:r>
      </w:hyperlink>
      <w:r w:rsidRPr="00AB0A82">
        <w:rPr>
          <w:noProof/>
          <w:sz w:val="18"/>
          <w:szCs w:val="18"/>
        </w:rPr>
        <w:t>.</w:t>
      </w:r>
    </w:p>
    <w:p w14:paraId="3FF3319C" w14:textId="74EBFFBF"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Sen, P., Roy, M., Pal, P., 2016. Application of ARIMA for forecasting energy consumption and GHG emission: a case study of an Indian pig iron manufacturing organization. Energy 116, 1031-1038. </w:t>
      </w:r>
      <w:hyperlink r:id="rId17" w:history="1">
        <w:r w:rsidRPr="00AB0A82">
          <w:rPr>
            <w:noProof/>
            <w:sz w:val="18"/>
            <w:szCs w:val="18"/>
          </w:rPr>
          <w:t>http://dx.doi.org/10.1016/j.energy.2016.10.068</w:t>
        </w:r>
      </w:hyperlink>
      <w:r w:rsidRPr="00AB0A82">
        <w:rPr>
          <w:noProof/>
          <w:sz w:val="18"/>
          <w:szCs w:val="18"/>
        </w:rPr>
        <w:t>.</w:t>
      </w:r>
    </w:p>
    <w:p w14:paraId="6FC30EDA" w14:textId="1CBF4211"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Meng, M., Jing, K., Mander, S., 2017. Scenario analysis of CO2 emissions from China’s electric power industry. J. Clean. Prod. 142, 3101-3108. </w:t>
      </w:r>
      <w:hyperlink r:id="rId18" w:history="1">
        <w:r w:rsidRPr="00AB0A82">
          <w:rPr>
            <w:noProof/>
            <w:sz w:val="18"/>
            <w:szCs w:val="18"/>
          </w:rPr>
          <w:t>http://dx.doi.org/10.1016/j.jclepro.2016.10.157</w:t>
        </w:r>
      </w:hyperlink>
      <w:r w:rsidRPr="00AB0A82">
        <w:rPr>
          <w:noProof/>
          <w:sz w:val="18"/>
          <w:szCs w:val="18"/>
        </w:rPr>
        <w:t>.</w:t>
      </w:r>
    </w:p>
    <w:p w14:paraId="291DB197" w14:textId="70564D6E"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Zeng, B., Li, C., 2016. Forecasting the natural gas demand in China using a self adapting intelligent grey model. Energy 112, 810-825. </w:t>
      </w:r>
      <w:hyperlink r:id="rId19" w:history="1">
        <w:r w:rsidRPr="00AB0A82">
          <w:rPr>
            <w:noProof/>
            <w:sz w:val="18"/>
            <w:szCs w:val="18"/>
          </w:rPr>
          <w:t>http://dx.doi.org/10.1016/j.energy.2016.06.090</w:t>
        </w:r>
      </w:hyperlink>
      <w:r w:rsidRPr="00AB0A82">
        <w:rPr>
          <w:noProof/>
          <w:sz w:val="18"/>
          <w:szCs w:val="18"/>
        </w:rPr>
        <w:t>.</w:t>
      </w:r>
    </w:p>
    <w:p w14:paraId="7332B303" w14:textId="314E4F48" w:rsidR="00AB0A82" w:rsidRPr="00AB0A82" w:rsidRDefault="00AB0A82" w:rsidP="00AB0A82">
      <w:pPr>
        <w:numPr>
          <w:ilvl w:val="0"/>
          <w:numId w:val="17"/>
        </w:numPr>
        <w:tabs>
          <w:tab w:val="left" w:pos="426"/>
        </w:tabs>
        <w:ind w:left="426" w:hanging="426"/>
        <w:jc w:val="both"/>
        <w:rPr>
          <w:noProof/>
          <w:sz w:val="18"/>
          <w:szCs w:val="18"/>
        </w:rPr>
      </w:pPr>
      <w:r w:rsidRPr="00155DEE">
        <w:rPr>
          <w:noProof/>
          <w:sz w:val="18"/>
          <w:szCs w:val="18"/>
          <w:lang w:val="es-CO"/>
        </w:rPr>
        <w:t xml:space="preserve">De Andrade Guerra, J.B.S.O., Dutra, L., Schwinden, N.B.C., De Andrade, S.F., 2015. </w:t>
      </w:r>
      <w:r w:rsidRPr="00AB0A82">
        <w:rPr>
          <w:noProof/>
          <w:sz w:val="18"/>
          <w:szCs w:val="18"/>
        </w:rPr>
        <w:t xml:space="preserve">Future scenarios and trends in energy generation in Brazil: supply and demand and mitigation forecasts. J. Clean. Prod. 103, 197-210. </w:t>
      </w:r>
      <w:hyperlink r:id="rId20" w:history="1">
        <w:r w:rsidRPr="00AB0A82">
          <w:rPr>
            <w:noProof/>
            <w:sz w:val="18"/>
            <w:szCs w:val="18"/>
          </w:rPr>
          <w:t>http://dx.doi.org/10.1016/j.jclepro.2014.09.082</w:t>
        </w:r>
      </w:hyperlink>
      <w:r w:rsidRPr="00AB0A82">
        <w:rPr>
          <w:noProof/>
          <w:sz w:val="18"/>
          <w:szCs w:val="18"/>
        </w:rPr>
        <w:t>.</w:t>
      </w:r>
    </w:p>
    <w:p w14:paraId="7B0A6D07" w14:textId="24444923"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Han R., Yu B., Tang B., Liao H. and Wei Y. Carbon emissions quotas in the Chinese road transport sector: A carbon trading perspective. Energy Policy, 106 (2017): 298-309.</w:t>
      </w:r>
    </w:p>
    <w:p w14:paraId="5A0597F5" w14:textId="6AB67E3B"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Meersman H., Ehrler V.C., Bruckmann D., Chen M., Francke J., Hill P., Jackson C., Klauenberg J., Kurowski M., Seidel S. and Vierth I. Cahallengers and future research needs towards international freight transport modelling. Case Sudies on Transport Policy, 4 (2016): 3-8.</w:t>
      </w:r>
    </w:p>
    <w:p w14:paraId="23A379EE" w14:textId="76159850"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Talbi B. CO2 emissions reduction in road transport sector in Tunisia. Renewable and Sustainable Energy Reviews, 69 (2017): 232-238.</w:t>
      </w:r>
    </w:p>
    <w:p w14:paraId="518976D4" w14:textId="35813112"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Singh R., Sharmna C. and Agrawal M. Emission inventory of trace gases from road transport in India. Transportation Research Part D, 52 (2017): 64-72.</w:t>
      </w:r>
    </w:p>
    <w:p w14:paraId="21A074EA" w14:textId="38444AB1"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Donchenko V., Kunin Y., Ruzski A., Barishev L., Trofimenko Y. and Mekhonoshin V. Estimated atmosfpheric emission from motor transport in Moscow based on transport model of the city. Transport Research Procedia 14 (2016): 2649-2658.</w:t>
      </w:r>
    </w:p>
    <w:p w14:paraId="23B1FCF1" w14:textId="2EF24942"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Song S., Diao M. and Feng C.C. Individual transport emissions and the built environment: A structural equation modelling approach. Transportation Research Part A, 92 (216): 206-219. </w:t>
      </w:r>
    </w:p>
    <w:p w14:paraId="7E416B69" w14:textId="1FF14477"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Osório B., McCullen N., Walker I. and Coley D. Integrating the energy costs of urban transport and buildings. Sustainable Cities and Society 32 (2017): 669-681).</w:t>
      </w:r>
    </w:p>
    <w:p w14:paraId="2EC28E63" w14:textId="05DC5AC2"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Mommens K., Van Lier T. and Macharis C. Loading unit in freight transport modelling. Procedia Computer Science, 83 (2016): 921-927.</w:t>
      </w:r>
    </w:p>
    <w:p w14:paraId="78DD2D86" w14:textId="71926990"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Ottemoller O. and Friedrich H. opportunities of sectorial freight transport demand modelling. Case Studies on Transport Policy 4 (2016): 9-12.</w:t>
      </w:r>
    </w:p>
    <w:p w14:paraId="58286B69" w14:textId="18E8B625"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Dzikuc M., Adamczyk J. and Piwowar A. Problems associated with the emissions limitations from road transport in the Lubuskie Province (Poland). Atmospheric Environment, 160 (2017): 1-8.</w:t>
      </w:r>
    </w:p>
    <w:p w14:paraId="21AD6D31" w14:textId="32A07498"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Santos G. Road transport and CO2 emissions: what are the challenges?. Transport Policy 59 (2017): 71-74.</w:t>
      </w:r>
    </w:p>
    <w:p w14:paraId="1542C6AC" w14:textId="0396B5D7"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J. D. Sterman, Business dynamics: systems thinking and modeling for a complex world. Boston: Irwin/McGraw-Hill., 2000</w:t>
      </w:r>
    </w:p>
    <w:p w14:paraId="3DCC6E1B" w14:textId="31032500"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H. Rahmandad, &amp; J. Sterman. Heterogeneity and network structure in the dynamics of diffusion: Comparing agent-based and differential equation models. Management Science, vol 54, pag 998-1014., 2008.</w:t>
      </w:r>
    </w:p>
    <w:p w14:paraId="66A8CF6F" w14:textId="60AF3C00" w:rsidR="00AB0A82" w:rsidRPr="00AB0A82" w:rsidRDefault="00AB0A82" w:rsidP="00AB0A82">
      <w:pPr>
        <w:numPr>
          <w:ilvl w:val="0"/>
          <w:numId w:val="17"/>
        </w:numPr>
        <w:tabs>
          <w:tab w:val="left" w:pos="426"/>
        </w:tabs>
        <w:ind w:left="426" w:hanging="426"/>
        <w:jc w:val="both"/>
        <w:rPr>
          <w:noProof/>
          <w:sz w:val="18"/>
          <w:szCs w:val="18"/>
        </w:rPr>
      </w:pPr>
      <w:r w:rsidRPr="00155DEE">
        <w:rPr>
          <w:noProof/>
          <w:sz w:val="18"/>
          <w:szCs w:val="18"/>
          <w:lang w:val="es-CO"/>
        </w:rPr>
        <w:t xml:space="preserve">R. Ponzo, I. Dyner, ,S. Arango, &amp; E.R Larsen. </w:t>
      </w:r>
      <w:r w:rsidRPr="00AB0A82">
        <w:rPr>
          <w:noProof/>
          <w:sz w:val="18"/>
          <w:szCs w:val="18"/>
        </w:rPr>
        <w:t>Regulation and development of the Argentinean gas market. Energy policy, vol 39.(3), pag 1070-1079 2001.</w:t>
      </w:r>
    </w:p>
    <w:p w14:paraId="752AB60E" w14:textId="3D9DC562" w:rsidR="00AB0A82" w:rsidRPr="00AB0A82" w:rsidRDefault="00AB0A82" w:rsidP="00AB0A82">
      <w:pPr>
        <w:numPr>
          <w:ilvl w:val="0"/>
          <w:numId w:val="17"/>
        </w:numPr>
        <w:tabs>
          <w:tab w:val="left" w:pos="426"/>
        </w:tabs>
        <w:ind w:left="426" w:hanging="426"/>
        <w:jc w:val="both"/>
        <w:rPr>
          <w:noProof/>
          <w:sz w:val="18"/>
          <w:szCs w:val="18"/>
        </w:rPr>
      </w:pPr>
      <w:r w:rsidRPr="00155DEE">
        <w:rPr>
          <w:noProof/>
          <w:sz w:val="18"/>
          <w:szCs w:val="18"/>
          <w:lang w:val="es-CO"/>
        </w:rPr>
        <w:t xml:space="preserve">DANE, “Departamento administrativo Nacional de estadística,” 2005. </w:t>
      </w:r>
      <w:r w:rsidRPr="00AB0A82">
        <w:rPr>
          <w:noProof/>
          <w:sz w:val="18"/>
          <w:szCs w:val="18"/>
        </w:rPr>
        <w:t xml:space="preserve">[Online]. Available: </w:t>
      </w:r>
      <w:hyperlink r:id="rId21" w:history="1">
        <w:r w:rsidRPr="00AB0A82">
          <w:rPr>
            <w:noProof/>
            <w:sz w:val="18"/>
            <w:szCs w:val="18"/>
          </w:rPr>
          <w:t>https://www.dane.gov.co/files/censos/presentaciones/poblacion_adulto_mayor.pdf</w:t>
        </w:r>
      </w:hyperlink>
    </w:p>
    <w:p w14:paraId="02972409" w14:textId="68AA2454" w:rsidR="00AB0A82" w:rsidRPr="00AB0A82" w:rsidRDefault="00AB0A82" w:rsidP="00AB0A82">
      <w:pPr>
        <w:numPr>
          <w:ilvl w:val="0"/>
          <w:numId w:val="17"/>
        </w:numPr>
        <w:tabs>
          <w:tab w:val="left" w:pos="426"/>
        </w:tabs>
        <w:ind w:left="426" w:hanging="426"/>
        <w:jc w:val="both"/>
        <w:rPr>
          <w:noProof/>
          <w:sz w:val="18"/>
          <w:szCs w:val="18"/>
        </w:rPr>
      </w:pPr>
      <w:r w:rsidRPr="00155DEE">
        <w:rPr>
          <w:noProof/>
          <w:sz w:val="18"/>
          <w:szCs w:val="18"/>
          <w:lang w:val="es-CO"/>
        </w:rPr>
        <w:t>DANE, “Departamento administrativo Nacional de estad</w:t>
      </w:r>
      <w:bookmarkStart w:id="0" w:name="_GoBack"/>
      <w:bookmarkEnd w:id="0"/>
      <w:r w:rsidRPr="00155DEE">
        <w:rPr>
          <w:noProof/>
          <w:sz w:val="18"/>
          <w:szCs w:val="18"/>
          <w:lang w:val="es-CO"/>
        </w:rPr>
        <w:t xml:space="preserve">ística,” 2011. </w:t>
      </w:r>
      <w:r w:rsidRPr="00AB0A82">
        <w:rPr>
          <w:noProof/>
          <w:sz w:val="18"/>
          <w:szCs w:val="18"/>
        </w:rPr>
        <w:t xml:space="preserve">[Online]. Available: </w:t>
      </w:r>
      <w:hyperlink r:id="rId22" w:history="1">
        <w:r w:rsidRPr="00AB0A82">
          <w:rPr>
            <w:noProof/>
            <w:sz w:val="18"/>
            <w:szCs w:val="18"/>
          </w:rPr>
          <w:t>https://www.dane.gov.co/files/censo2005/PERFIL_PDF_CG2005/11001T7T000.PDF</w:t>
        </w:r>
      </w:hyperlink>
    </w:p>
    <w:p w14:paraId="7B4E24F0" w14:textId="6486562A"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EIA “U.S Energy information administration” 2013 [Online]. Available: </w:t>
      </w:r>
      <w:hyperlink r:id="rId23" w:history="1">
        <w:r w:rsidRPr="00AB0A82">
          <w:rPr>
            <w:noProof/>
            <w:sz w:val="18"/>
            <w:szCs w:val="18"/>
          </w:rPr>
          <w:t>https://www.iea.org/media/workshops/2013/egrdmobility/Nylund_Vehicle_energy_efficiencies.pdf</w:t>
        </w:r>
      </w:hyperlink>
      <w:r w:rsidRPr="00AB0A82">
        <w:rPr>
          <w:noProof/>
          <w:sz w:val="18"/>
          <w:szCs w:val="18"/>
        </w:rPr>
        <w:t xml:space="preserve"> </w:t>
      </w:r>
    </w:p>
    <w:p w14:paraId="7FEC09D1" w14:textId="0D6668AA"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K. Bozbas  Biodiesel as an alternative motor fuel: production and policies in the European Union. Renew Sustainable Energy Rev; vol 12, is 2 pag:542–52, 2008</w:t>
      </w:r>
    </w:p>
    <w:p w14:paraId="1D4186CC" w14:textId="595381AB" w:rsidR="00AB0A82" w:rsidRPr="00AB0A82" w:rsidRDefault="00AB0A82" w:rsidP="00AB0A82">
      <w:pPr>
        <w:numPr>
          <w:ilvl w:val="0"/>
          <w:numId w:val="17"/>
        </w:numPr>
        <w:tabs>
          <w:tab w:val="left" w:pos="426"/>
        </w:tabs>
        <w:ind w:left="426" w:hanging="426"/>
        <w:jc w:val="both"/>
        <w:rPr>
          <w:noProof/>
          <w:sz w:val="18"/>
          <w:szCs w:val="18"/>
        </w:rPr>
      </w:pPr>
      <w:r w:rsidRPr="00AB0A82">
        <w:rPr>
          <w:noProof/>
          <w:sz w:val="18"/>
          <w:szCs w:val="18"/>
        </w:rPr>
        <w:t xml:space="preserve">EIA “U.S Energy information administration” 2017 [Online]. Available: </w:t>
      </w:r>
      <w:hyperlink r:id="rId24" w:history="1">
        <w:r w:rsidRPr="00AB0A82">
          <w:rPr>
            <w:noProof/>
            <w:sz w:val="18"/>
            <w:szCs w:val="18"/>
          </w:rPr>
          <w:t>https://www.eia.gov/tools/faqs/faq.php?id=73&amp;t=11</w:t>
        </w:r>
      </w:hyperlink>
      <w:r w:rsidRPr="00AB0A82">
        <w:rPr>
          <w:noProof/>
          <w:sz w:val="18"/>
          <w:szCs w:val="18"/>
        </w:rPr>
        <w:t xml:space="preserve"> </w:t>
      </w:r>
    </w:p>
    <w:p w14:paraId="3D157941" w14:textId="77777777" w:rsidR="00AB0A82" w:rsidRDefault="00AB0A82" w:rsidP="00AB0A82">
      <w:pPr>
        <w:tabs>
          <w:tab w:val="left" w:pos="426"/>
        </w:tabs>
        <w:ind w:left="360"/>
        <w:jc w:val="both"/>
        <w:rPr>
          <w:noProof/>
          <w:sz w:val="18"/>
          <w:szCs w:val="18"/>
        </w:rPr>
      </w:pPr>
    </w:p>
    <w:p w14:paraId="38488167" w14:textId="77777777" w:rsidR="00231A19" w:rsidRDefault="00231A19" w:rsidP="00231A19">
      <w:pPr>
        <w:jc w:val="both"/>
        <w:rPr>
          <w:color w:val="000000"/>
          <w:sz w:val="18"/>
          <w:szCs w:val="18"/>
        </w:rPr>
      </w:pPr>
    </w:p>
    <w:p w14:paraId="50991F10" w14:textId="77777777" w:rsidR="00231A19" w:rsidRDefault="00F33C08" w:rsidP="00231A19">
      <w:pPr>
        <w:rPr>
          <w:b/>
          <w:bCs/>
        </w:rPr>
      </w:pPr>
      <w:r>
        <w:rPr>
          <w:rStyle w:val="apple-style-span"/>
          <w:b/>
          <w:color w:val="000000"/>
          <w:lang w:val="pt-BR"/>
        </w:rPr>
        <w:t>BIBLIOGRAPHY OF AUTHORS</w:t>
      </w:r>
    </w:p>
    <w:p w14:paraId="1D499011"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020BA78C" w14:textId="77777777" w:rsidTr="00F33C08">
        <w:tc>
          <w:tcPr>
            <w:tcW w:w="1813" w:type="dxa"/>
          </w:tcPr>
          <w:p w14:paraId="2A289B31" w14:textId="570B6314" w:rsidR="00231A19" w:rsidRPr="00231A19" w:rsidRDefault="00761756" w:rsidP="003E4823">
            <w:pPr>
              <w:jc w:val="center"/>
              <w:rPr>
                <w:color w:val="000000"/>
                <w:lang w:val="pt-BR"/>
              </w:rPr>
            </w:pPr>
            <w:r>
              <w:rPr>
                <w:rFonts w:eastAsia="SimSun"/>
                <w:noProof/>
                <w:sz w:val="16"/>
                <w:lang w:val="es-CO" w:eastAsia="es-CO"/>
              </w:rPr>
              <w:drawing>
                <wp:inline distT="0" distB="0" distL="0" distR="0" wp14:anchorId="600FEDDD" wp14:editId="710E6F17">
                  <wp:extent cx="790735" cy="102743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Daniel.jpg"/>
                          <pic:cNvPicPr/>
                        </pic:nvPicPr>
                        <pic:blipFill>
                          <a:blip r:embed="rId25">
                            <a:extLst>
                              <a:ext uri="{28A0092B-C50C-407E-A947-70E740481C1C}">
                                <a14:useLocalDpi xmlns:a14="http://schemas.microsoft.com/office/drawing/2010/main" val="0"/>
                              </a:ext>
                            </a:extLst>
                          </a:blip>
                          <a:stretch>
                            <a:fillRect/>
                          </a:stretch>
                        </pic:blipFill>
                        <pic:spPr>
                          <a:xfrm>
                            <a:off x="0" y="0"/>
                            <a:ext cx="791425" cy="102832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7226" w:type="dxa"/>
          </w:tcPr>
          <w:p w14:paraId="72D6776C" w14:textId="77777777" w:rsidR="00795873" w:rsidRDefault="00795873" w:rsidP="00795873">
            <w:pPr>
              <w:pStyle w:val="FigureCaption0"/>
              <w:rPr>
                <w:rFonts w:eastAsia="SimSun"/>
                <w:b/>
                <w:lang w:eastAsia="zh-CN"/>
              </w:rPr>
            </w:pPr>
          </w:p>
          <w:p w14:paraId="4A6235BC" w14:textId="6FFF8436" w:rsidR="00A47AD5" w:rsidRDefault="00761756" w:rsidP="00761756">
            <w:pPr>
              <w:jc w:val="both"/>
              <w:rPr>
                <w:color w:val="000000"/>
                <w:lang w:val="pt-BR"/>
              </w:rPr>
            </w:pPr>
            <w:r w:rsidRPr="00761756">
              <w:rPr>
                <w:rFonts w:eastAsia="SimSun"/>
                <w:b/>
                <w:sz w:val="18"/>
                <w:szCs w:val="18"/>
                <w:lang w:eastAsia="zh-CN"/>
              </w:rPr>
              <w:t>Daniel Ospina</w:t>
            </w:r>
            <w:r w:rsidRPr="00761756">
              <w:rPr>
                <w:rFonts w:eastAsia="SimSun"/>
                <w:sz w:val="18"/>
                <w:szCs w:val="18"/>
                <w:lang w:eastAsia="zh-CN"/>
              </w:rPr>
              <w:t xml:space="preserve"> received Bachelor of science in Petroleum Engineering from Universidad Nacional de Colombia in 2013. He has extensive experience in planning for public administration and public investment projects. He has financial knowledge and public bidding. His areas of interest are renewable energy, modeling, optimization and sustainable management</w:t>
            </w:r>
            <w:r>
              <w:rPr>
                <w:rFonts w:eastAsia="SimSun"/>
                <w:sz w:val="18"/>
                <w:szCs w:val="18"/>
                <w:lang w:eastAsia="zh-CN"/>
              </w:rPr>
              <w:t>.</w:t>
            </w:r>
          </w:p>
          <w:p w14:paraId="34B44018" w14:textId="77777777" w:rsidR="00A47AD5" w:rsidRPr="00231A19" w:rsidRDefault="00A47AD5" w:rsidP="00A47AD5">
            <w:pPr>
              <w:rPr>
                <w:color w:val="000000"/>
                <w:lang w:val="pt-BR"/>
              </w:rPr>
            </w:pPr>
          </w:p>
        </w:tc>
      </w:tr>
      <w:tr w:rsidR="00A47AD5" w14:paraId="7EF27996" w14:textId="77777777" w:rsidTr="00F33C08">
        <w:tc>
          <w:tcPr>
            <w:tcW w:w="1813" w:type="dxa"/>
          </w:tcPr>
          <w:p w14:paraId="14275CA3" w14:textId="77777777" w:rsidR="00A47AD5" w:rsidRPr="00231A19" w:rsidRDefault="00A47AD5" w:rsidP="00A47AD5">
            <w:pPr>
              <w:rPr>
                <w:color w:val="000000"/>
                <w:lang w:val="pt-BR"/>
              </w:rPr>
            </w:pPr>
          </w:p>
        </w:tc>
        <w:tc>
          <w:tcPr>
            <w:tcW w:w="7226" w:type="dxa"/>
          </w:tcPr>
          <w:p w14:paraId="4519843A" w14:textId="77777777" w:rsidR="00A47AD5" w:rsidRPr="00231A19" w:rsidRDefault="00A47AD5" w:rsidP="00A47AD5">
            <w:pPr>
              <w:jc w:val="both"/>
              <w:rPr>
                <w:color w:val="000000"/>
                <w:sz w:val="18"/>
                <w:szCs w:val="18"/>
              </w:rPr>
            </w:pPr>
          </w:p>
        </w:tc>
      </w:tr>
      <w:tr w:rsidR="00231A19" w14:paraId="535C508E" w14:textId="77777777" w:rsidTr="00F33C08">
        <w:tc>
          <w:tcPr>
            <w:tcW w:w="1813" w:type="dxa"/>
          </w:tcPr>
          <w:p w14:paraId="372F6B80" w14:textId="74216080" w:rsidR="00231A19" w:rsidRPr="00231A19" w:rsidRDefault="009C0534" w:rsidP="009C0534">
            <w:pPr>
              <w:jc w:val="center"/>
              <w:rPr>
                <w:color w:val="000000"/>
                <w:lang w:val="pt-BR"/>
              </w:rPr>
            </w:pPr>
            <w:r>
              <w:rPr>
                <w:noProof/>
                <w:lang w:val="es-CO" w:eastAsia="es-CO"/>
              </w:rPr>
              <w:drawing>
                <wp:inline distT="0" distB="0" distL="0" distR="0" wp14:anchorId="16DFEF0B" wp14:editId="621B5DE8">
                  <wp:extent cx="824865" cy="771525"/>
                  <wp:effectExtent l="0" t="0" r="0" b="0"/>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ca1\Desktop\Sin título.jp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24865" cy="7715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13BD8A8" w14:textId="77777777" w:rsidR="00231A19" w:rsidRPr="00231A19" w:rsidRDefault="00231A19" w:rsidP="00A47AD5">
            <w:pPr>
              <w:jc w:val="center"/>
              <w:rPr>
                <w:color w:val="000000"/>
                <w:lang w:val="pt-BR"/>
              </w:rPr>
            </w:pPr>
          </w:p>
        </w:tc>
        <w:tc>
          <w:tcPr>
            <w:tcW w:w="7226" w:type="dxa"/>
          </w:tcPr>
          <w:p w14:paraId="5FF35FA0" w14:textId="77777777" w:rsidR="00CD147D" w:rsidRDefault="00CD147D" w:rsidP="00795873">
            <w:pPr>
              <w:autoSpaceDE w:val="0"/>
              <w:autoSpaceDN w:val="0"/>
              <w:adjustRightInd w:val="0"/>
              <w:jc w:val="both"/>
              <w:rPr>
                <w:rFonts w:eastAsia="SimSun"/>
                <w:b/>
                <w:sz w:val="18"/>
                <w:szCs w:val="18"/>
                <w:lang w:eastAsia="zh-CN"/>
              </w:rPr>
            </w:pPr>
          </w:p>
          <w:p w14:paraId="16A8589E" w14:textId="42547E79" w:rsidR="00A47AD5" w:rsidRPr="00795873" w:rsidRDefault="00C96845" w:rsidP="00795873">
            <w:pPr>
              <w:autoSpaceDE w:val="0"/>
              <w:autoSpaceDN w:val="0"/>
              <w:adjustRightInd w:val="0"/>
              <w:jc w:val="both"/>
              <w:rPr>
                <w:rFonts w:eastAsia="SimSun"/>
                <w:sz w:val="18"/>
                <w:szCs w:val="18"/>
                <w:lang w:eastAsia="zh-CN"/>
              </w:rPr>
            </w:pPr>
            <w:r w:rsidRPr="007F7841">
              <w:rPr>
                <w:rFonts w:eastAsia="SimSun"/>
                <w:b/>
                <w:sz w:val="18"/>
                <w:szCs w:val="18"/>
                <w:lang w:eastAsia="zh-CN"/>
              </w:rPr>
              <w:t>Sebastian Zapata</w:t>
            </w:r>
            <w:r w:rsidRPr="007F7841">
              <w:rPr>
                <w:rFonts w:eastAsia="SimSun"/>
                <w:sz w:val="18"/>
                <w:szCs w:val="18"/>
                <w:lang w:eastAsia="zh-CN"/>
              </w:rPr>
              <w:t xml:space="preserve"> received the Engineering degree in System Engineering in 2010 from National University of Colombia, his master degree in System Engineering was obtained in 2013 and he is a PhD student, his current research interests are electricity markets, renewable energy, simulation, and policy analysis.</w:t>
            </w:r>
          </w:p>
        </w:tc>
      </w:tr>
      <w:tr w:rsidR="00761756" w14:paraId="6EF33177" w14:textId="77777777" w:rsidTr="00F33C08">
        <w:tc>
          <w:tcPr>
            <w:tcW w:w="1813" w:type="dxa"/>
          </w:tcPr>
          <w:p w14:paraId="178B4968" w14:textId="77777777" w:rsidR="00761756" w:rsidRPr="00231A19" w:rsidRDefault="00761756" w:rsidP="00A47AD5">
            <w:pPr>
              <w:rPr>
                <w:color w:val="000000"/>
                <w:lang w:val="pt-BR"/>
              </w:rPr>
            </w:pPr>
          </w:p>
        </w:tc>
        <w:tc>
          <w:tcPr>
            <w:tcW w:w="7226" w:type="dxa"/>
          </w:tcPr>
          <w:p w14:paraId="558BCAE2" w14:textId="77777777" w:rsidR="00761756" w:rsidRPr="00231A19" w:rsidRDefault="00761756" w:rsidP="00A47AD5">
            <w:pPr>
              <w:jc w:val="both"/>
              <w:rPr>
                <w:color w:val="000000"/>
                <w:sz w:val="18"/>
                <w:szCs w:val="18"/>
              </w:rPr>
            </w:pPr>
          </w:p>
        </w:tc>
      </w:tr>
      <w:tr w:rsidR="00761756" w14:paraId="1CD8809E" w14:textId="77777777" w:rsidTr="00F33C08">
        <w:tc>
          <w:tcPr>
            <w:tcW w:w="1813" w:type="dxa"/>
          </w:tcPr>
          <w:p w14:paraId="38CAE539" w14:textId="3E84BCDA" w:rsidR="00761756" w:rsidRPr="00231A19" w:rsidRDefault="00761756" w:rsidP="00C96845">
            <w:pPr>
              <w:jc w:val="center"/>
              <w:rPr>
                <w:color w:val="000000"/>
                <w:lang w:val="pt-BR"/>
              </w:rPr>
            </w:pPr>
          </w:p>
          <w:p w14:paraId="2C9723B6" w14:textId="0E9DE092" w:rsidR="00761756" w:rsidRPr="00231A19" w:rsidRDefault="00A31EB7" w:rsidP="00A31EB7">
            <w:pPr>
              <w:jc w:val="center"/>
              <w:rPr>
                <w:color w:val="000000"/>
                <w:lang w:val="pt-BR"/>
              </w:rPr>
            </w:pPr>
            <w:r>
              <w:rPr>
                <w:noProof/>
                <w:lang w:val="es-CO" w:eastAsia="es-CO"/>
              </w:rPr>
              <w:drawing>
                <wp:inline distT="0" distB="0" distL="0" distR="0" wp14:anchorId="4A83517E" wp14:editId="7DDB2BE5">
                  <wp:extent cx="792669" cy="904028"/>
                  <wp:effectExtent l="0" t="0" r="0" b="10795"/>
                  <wp:docPr id="7" name="Imagen 7" descr="C:\Users\monica1\Desktop\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ca1\Desktop\Sin título.jpg"/>
                          <pic:cNvPicPr>
                            <a:picLocks noChangeAspect="1" noChangeArrowheads="1"/>
                          </pic:cNvPicPr>
                        </pic:nvPicPr>
                        <pic:blipFill rotWithShape="1">
                          <a:blip r:embed="rId27">
                            <a:extLst>
                              <a:ext uri="{28A0092B-C50C-407E-A947-70E740481C1C}">
                                <a14:useLocalDpi xmlns:a14="http://schemas.microsoft.com/office/drawing/2010/main" val="0"/>
                              </a:ext>
                            </a:extLst>
                          </a:blip>
                          <a:srcRect t="13757"/>
                          <a:stretch/>
                        </pic:blipFill>
                        <pic:spPr bwMode="auto">
                          <a:xfrm>
                            <a:off x="0" y="0"/>
                            <a:ext cx="792669" cy="90402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7226" w:type="dxa"/>
          </w:tcPr>
          <w:p w14:paraId="09BCCBBD" w14:textId="77777777" w:rsidR="00761756" w:rsidRDefault="00761756" w:rsidP="009C0534">
            <w:pPr>
              <w:autoSpaceDE w:val="0"/>
              <w:autoSpaceDN w:val="0"/>
              <w:adjustRightInd w:val="0"/>
              <w:jc w:val="both"/>
              <w:rPr>
                <w:rFonts w:eastAsia="SimSun"/>
                <w:b/>
                <w:sz w:val="18"/>
                <w:szCs w:val="18"/>
                <w:lang w:eastAsia="zh-CN"/>
              </w:rPr>
            </w:pPr>
          </w:p>
          <w:p w14:paraId="3D41B564" w14:textId="5F6533C6" w:rsidR="00761756" w:rsidRPr="00231A19" w:rsidRDefault="00727447" w:rsidP="00A47AD5">
            <w:pPr>
              <w:jc w:val="both"/>
              <w:rPr>
                <w:color w:val="000000"/>
                <w:sz w:val="18"/>
                <w:szCs w:val="18"/>
              </w:rPr>
            </w:pPr>
            <w:proofErr w:type="spellStart"/>
            <w:r w:rsidRPr="007F7841">
              <w:rPr>
                <w:rFonts w:eastAsia="SimSun"/>
                <w:b/>
                <w:sz w:val="18"/>
                <w:szCs w:val="18"/>
                <w:lang w:eastAsia="zh-CN"/>
              </w:rPr>
              <w:t>Mónica</w:t>
            </w:r>
            <w:proofErr w:type="spellEnd"/>
            <w:r w:rsidRPr="007F7841">
              <w:rPr>
                <w:rFonts w:eastAsia="SimSun"/>
                <w:b/>
                <w:sz w:val="18"/>
                <w:szCs w:val="18"/>
                <w:lang w:eastAsia="zh-CN"/>
              </w:rPr>
              <w:t xml:space="preserve"> </w:t>
            </w:r>
            <w:proofErr w:type="spellStart"/>
            <w:r w:rsidRPr="007F7841">
              <w:rPr>
                <w:rFonts w:eastAsia="SimSun"/>
                <w:b/>
                <w:sz w:val="18"/>
                <w:szCs w:val="18"/>
                <w:lang w:eastAsia="zh-CN"/>
              </w:rPr>
              <w:t>Castañeda</w:t>
            </w:r>
            <w:proofErr w:type="spellEnd"/>
            <w:r w:rsidRPr="007F7841">
              <w:rPr>
                <w:rFonts w:eastAsia="SimSun"/>
                <w:sz w:val="18"/>
                <w:szCs w:val="18"/>
                <w:lang w:eastAsia="zh-CN"/>
              </w:rPr>
              <w:t xml:space="preserve"> received the Engineering degree in Management Engineering in 2011 from National University of Colombia, her master degree in System Engineering was obtained in 2014 and she is a PhD student, her current research interest are electricity markets, renewable energy, simulation, and policy analysis.</w:t>
            </w:r>
          </w:p>
        </w:tc>
      </w:tr>
      <w:tr w:rsidR="00761756" w14:paraId="301F75B3" w14:textId="77777777" w:rsidTr="00F33C08">
        <w:tc>
          <w:tcPr>
            <w:tcW w:w="1813" w:type="dxa"/>
          </w:tcPr>
          <w:p w14:paraId="6F86ED51" w14:textId="77777777" w:rsidR="00761756" w:rsidRPr="00155DEE" w:rsidRDefault="00761756" w:rsidP="009C0534">
            <w:pPr>
              <w:rPr>
                <w:b/>
                <w:bCs/>
                <w:noProof/>
                <w:lang w:eastAsia="es-ES"/>
              </w:rPr>
            </w:pPr>
          </w:p>
        </w:tc>
        <w:tc>
          <w:tcPr>
            <w:tcW w:w="7226" w:type="dxa"/>
          </w:tcPr>
          <w:p w14:paraId="264B4193" w14:textId="77777777" w:rsidR="00761756" w:rsidRDefault="00761756" w:rsidP="009C0534">
            <w:pPr>
              <w:autoSpaceDE w:val="0"/>
              <w:autoSpaceDN w:val="0"/>
              <w:adjustRightInd w:val="0"/>
              <w:jc w:val="both"/>
              <w:rPr>
                <w:rFonts w:eastAsia="SimSun"/>
                <w:b/>
                <w:sz w:val="18"/>
                <w:szCs w:val="18"/>
                <w:lang w:eastAsia="zh-CN"/>
              </w:rPr>
            </w:pPr>
          </w:p>
        </w:tc>
      </w:tr>
      <w:tr w:rsidR="00761756" w14:paraId="51BCBAC0" w14:textId="77777777" w:rsidTr="00F33C08">
        <w:tc>
          <w:tcPr>
            <w:tcW w:w="1813" w:type="dxa"/>
          </w:tcPr>
          <w:p w14:paraId="50554991" w14:textId="1B3E10F4" w:rsidR="00761756" w:rsidRPr="00231A19" w:rsidRDefault="007F7841" w:rsidP="009C0534">
            <w:pPr>
              <w:rPr>
                <w:color w:val="000000"/>
                <w:lang w:val="pt-BR"/>
              </w:rPr>
            </w:pPr>
            <w:r>
              <w:rPr>
                <w:noProof/>
                <w:lang w:val="es-CO" w:eastAsia="es-CO"/>
              </w:rPr>
              <w:drawing>
                <wp:anchor distT="0" distB="0" distL="114300" distR="114300" simplePos="0" relativeHeight="251658240" behindDoc="0" locked="0" layoutInCell="1" allowOverlap="1" wp14:anchorId="04043CD3" wp14:editId="6038D1D3">
                  <wp:simplePos x="0" y="0"/>
                  <wp:positionH relativeFrom="column">
                    <wp:posOffset>114300</wp:posOffset>
                  </wp:positionH>
                  <wp:positionV relativeFrom="paragraph">
                    <wp:posOffset>91440</wp:posOffset>
                  </wp:positionV>
                  <wp:extent cx="799465" cy="998220"/>
                  <wp:effectExtent l="0" t="0" r="0" b="0"/>
                  <wp:wrapSquare wrapText="bothSides"/>
                  <wp:docPr id="4" name="Imagen 4" descr="http://www.sbugroll.eu/images/Isaac%20Dyner_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bugroll.eu/images/Isaac%20Dyner_CD.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9465"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FA943" w14:textId="77777777" w:rsidR="00761756" w:rsidRPr="00155DEE" w:rsidRDefault="00761756" w:rsidP="009C0534">
            <w:pPr>
              <w:rPr>
                <w:b/>
                <w:bCs/>
                <w:noProof/>
                <w:lang w:eastAsia="es-ES"/>
              </w:rPr>
            </w:pPr>
          </w:p>
        </w:tc>
        <w:tc>
          <w:tcPr>
            <w:tcW w:w="7226" w:type="dxa"/>
          </w:tcPr>
          <w:p w14:paraId="096E6C83" w14:textId="77777777" w:rsidR="00761756" w:rsidRDefault="00761756" w:rsidP="009C0534">
            <w:pPr>
              <w:autoSpaceDE w:val="0"/>
              <w:autoSpaceDN w:val="0"/>
              <w:adjustRightInd w:val="0"/>
              <w:jc w:val="both"/>
              <w:rPr>
                <w:rFonts w:eastAsia="SimSun"/>
                <w:b/>
                <w:sz w:val="18"/>
                <w:szCs w:val="18"/>
                <w:lang w:eastAsia="zh-CN"/>
              </w:rPr>
            </w:pPr>
          </w:p>
          <w:p w14:paraId="508D2477" w14:textId="22295A14" w:rsidR="00761756" w:rsidRPr="001E01D8" w:rsidRDefault="001E01D8" w:rsidP="001E01D8">
            <w:pPr>
              <w:pStyle w:val="Biography"/>
              <w:spacing w:before="0"/>
              <w:rPr>
                <w:rFonts w:eastAsia="SimSun"/>
                <w:sz w:val="18"/>
                <w:szCs w:val="18"/>
                <w:lang w:eastAsia="zh-CN"/>
              </w:rPr>
            </w:pPr>
            <w:r w:rsidRPr="001E01D8">
              <w:rPr>
                <w:rFonts w:eastAsia="SimSun"/>
                <w:b/>
                <w:sz w:val="18"/>
                <w:szCs w:val="18"/>
                <w:lang w:eastAsia="zh-CN"/>
              </w:rPr>
              <w:t>Isaac Dyner</w:t>
            </w:r>
            <w:r w:rsidRPr="001E01D8">
              <w:rPr>
                <w:rFonts w:eastAsia="SimSun"/>
                <w:sz w:val="18"/>
                <w:szCs w:val="18"/>
                <w:lang w:eastAsia="zh-CN"/>
              </w:rPr>
              <w:t xml:space="preserve"> is a PhD in Decision Sciences from the      University of London (LBS); he has a Master's degree in Statistics and Operational Research and Undergraduate Mathematics. He has taught at the National University of Colombia in the areas of Operations Research, System Dynamics, </w:t>
            </w:r>
            <w:r>
              <w:rPr>
                <w:rFonts w:eastAsia="SimSun"/>
                <w:sz w:val="18"/>
                <w:szCs w:val="18"/>
                <w:lang w:eastAsia="zh-CN"/>
              </w:rPr>
              <w:t>Strategy, Regulation and Energy.</w:t>
            </w:r>
          </w:p>
        </w:tc>
      </w:tr>
      <w:tr w:rsidR="00761756" w14:paraId="4006DBE5" w14:textId="77777777" w:rsidTr="00F33C08">
        <w:tc>
          <w:tcPr>
            <w:tcW w:w="1813" w:type="dxa"/>
          </w:tcPr>
          <w:p w14:paraId="0FF6B66E" w14:textId="77777777" w:rsidR="00761756" w:rsidRPr="00155DEE" w:rsidRDefault="00761756" w:rsidP="009C0534">
            <w:pPr>
              <w:rPr>
                <w:b/>
                <w:bCs/>
                <w:noProof/>
                <w:lang w:eastAsia="es-ES"/>
              </w:rPr>
            </w:pPr>
          </w:p>
        </w:tc>
        <w:tc>
          <w:tcPr>
            <w:tcW w:w="7226" w:type="dxa"/>
          </w:tcPr>
          <w:p w14:paraId="06C1487F" w14:textId="77777777" w:rsidR="00761756" w:rsidRDefault="00761756" w:rsidP="009C0534">
            <w:pPr>
              <w:autoSpaceDE w:val="0"/>
              <w:autoSpaceDN w:val="0"/>
              <w:adjustRightInd w:val="0"/>
              <w:jc w:val="both"/>
              <w:rPr>
                <w:rFonts w:eastAsia="SimSun"/>
                <w:b/>
                <w:sz w:val="18"/>
                <w:szCs w:val="18"/>
                <w:lang w:eastAsia="zh-CN"/>
              </w:rPr>
            </w:pPr>
          </w:p>
        </w:tc>
      </w:tr>
      <w:tr w:rsidR="00761756" w14:paraId="10FCBBA6" w14:textId="77777777" w:rsidTr="00F33C08">
        <w:tc>
          <w:tcPr>
            <w:tcW w:w="1813" w:type="dxa"/>
          </w:tcPr>
          <w:p w14:paraId="4AB794D6" w14:textId="77777777" w:rsidR="00761756" w:rsidRPr="00231A19" w:rsidRDefault="00761756" w:rsidP="009C0534">
            <w:pPr>
              <w:rPr>
                <w:color w:val="000000"/>
                <w:lang w:val="pt-BR"/>
              </w:rPr>
            </w:pPr>
            <w:r>
              <w:rPr>
                <w:b/>
                <w:bCs/>
                <w:noProof/>
                <w:lang w:val="es-CO" w:eastAsia="es-CO"/>
              </w:rPr>
              <w:drawing>
                <wp:inline distT="0" distB="0" distL="0" distR="0" wp14:anchorId="7FD5C528" wp14:editId="46F9938E">
                  <wp:extent cx="945515" cy="103060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ieee.jpg"/>
                          <pic:cNvPicPr/>
                        </pic:nvPicPr>
                        <pic:blipFill>
                          <a:blip r:embed="rId29" cstate="print">
                            <a:grayscl/>
                            <a:extLst>
                              <a:ext uri="{28A0092B-C50C-407E-A947-70E740481C1C}">
                                <a14:useLocalDpi xmlns:a14="http://schemas.microsoft.com/office/drawing/2010/main" val="0"/>
                              </a:ext>
                            </a:extLst>
                          </a:blip>
                          <a:stretch>
                            <a:fillRect/>
                          </a:stretch>
                        </pic:blipFill>
                        <pic:spPr>
                          <a:xfrm>
                            <a:off x="0" y="0"/>
                            <a:ext cx="945515" cy="10306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AF29913" w14:textId="77777777" w:rsidR="00761756" w:rsidRDefault="00761756" w:rsidP="009C0534">
            <w:pPr>
              <w:rPr>
                <w:b/>
                <w:bCs/>
                <w:noProof/>
                <w:lang w:val="es-ES" w:eastAsia="es-ES"/>
              </w:rPr>
            </w:pPr>
          </w:p>
        </w:tc>
        <w:tc>
          <w:tcPr>
            <w:tcW w:w="7226" w:type="dxa"/>
          </w:tcPr>
          <w:p w14:paraId="6F9E8A85" w14:textId="77777777" w:rsidR="00761756" w:rsidRDefault="00761756" w:rsidP="009C0534">
            <w:pPr>
              <w:autoSpaceDE w:val="0"/>
              <w:autoSpaceDN w:val="0"/>
              <w:adjustRightInd w:val="0"/>
              <w:jc w:val="both"/>
              <w:rPr>
                <w:rFonts w:eastAsia="SimSun"/>
                <w:b/>
                <w:sz w:val="18"/>
                <w:szCs w:val="18"/>
                <w:lang w:eastAsia="zh-CN"/>
              </w:rPr>
            </w:pPr>
          </w:p>
          <w:p w14:paraId="47E756E0" w14:textId="30350BA6" w:rsidR="00761756" w:rsidRDefault="00761756" w:rsidP="009C0534">
            <w:pPr>
              <w:autoSpaceDE w:val="0"/>
              <w:autoSpaceDN w:val="0"/>
              <w:adjustRightInd w:val="0"/>
              <w:jc w:val="both"/>
              <w:rPr>
                <w:rFonts w:eastAsia="SimSun"/>
                <w:b/>
                <w:sz w:val="18"/>
                <w:szCs w:val="18"/>
                <w:lang w:eastAsia="zh-CN"/>
              </w:rPr>
            </w:pPr>
            <w:r w:rsidRPr="00795873">
              <w:rPr>
                <w:rFonts w:eastAsia="SimSun"/>
                <w:b/>
                <w:sz w:val="18"/>
                <w:szCs w:val="18"/>
                <w:lang w:eastAsia="zh-CN"/>
              </w:rPr>
              <w:t>Andrés Julián Aristizábal Cardona</w:t>
            </w:r>
            <w:r w:rsidRPr="00795873">
              <w:rPr>
                <w:rFonts w:eastAsia="SimSun"/>
                <w:sz w:val="18"/>
                <w:szCs w:val="18"/>
                <w:lang w:eastAsia="zh-CN"/>
              </w:rPr>
              <w:t xml:space="preserve"> received the Ph.D degree in science – physics from Universidad Nacional de Colomb</w:t>
            </w:r>
            <w:r>
              <w:rPr>
                <w:rFonts w:eastAsia="SimSun"/>
                <w:sz w:val="18"/>
                <w:szCs w:val="18"/>
                <w:lang w:eastAsia="zh-CN"/>
              </w:rPr>
              <w:t>ia, Bogotá, Colombia, in 2008.</w:t>
            </w:r>
            <w:r w:rsidRPr="00795873">
              <w:rPr>
                <w:rFonts w:eastAsia="SimSun"/>
                <w:sz w:val="18"/>
                <w:szCs w:val="18"/>
                <w:lang w:eastAsia="zh-CN"/>
              </w:rPr>
              <w:t xml:space="preserve"> He is currently the director of the Master's Degree in Engineering - Sustainable Management of Energy, in Universidad Jorge Tadeo Lozano, Bogotá, Colombia. His areas of interest are photovoltaic solar energy, virtual instrumentation, power quality and sustainability.</w:t>
            </w:r>
          </w:p>
        </w:tc>
      </w:tr>
      <w:tr w:rsidR="00761756" w14:paraId="7DDB71BB" w14:textId="77777777" w:rsidTr="00F33C08">
        <w:tc>
          <w:tcPr>
            <w:tcW w:w="1813" w:type="dxa"/>
          </w:tcPr>
          <w:p w14:paraId="1BE9ECF4" w14:textId="6946FB1B" w:rsidR="00761756" w:rsidRPr="00155DEE" w:rsidRDefault="001E01D8" w:rsidP="009C0534">
            <w:pPr>
              <w:rPr>
                <w:b/>
                <w:bCs/>
                <w:noProof/>
                <w:lang w:eastAsia="es-ES"/>
              </w:rPr>
            </w:pPr>
            <w:r>
              <w:rPr>
                <w:rFonts w:eastAsia="SimSun"/>
                <w:b/>
                <w:noProof/>
                <w:sz w:val="16"/>
                <w:lang w:val="es-CO" w:eastAsia="es-CO"/>
              </w:rPr>
              <w:drawing>
                <wp:anchor distT="0" distB="0" distL="114300" distR="114300" simplePos="0" relativeHeight="251659264" behindDoc="0" locked="0" layoutInCell="1" allowOverlap="1" wp14:anchorId="567A1A53" wp14:editId="631C1CBD">
                  <wp:simplePos x="0" y="0"/>
                  <wp:positionH relativeFrom="column">
                    <wp:posOffset>114300</wp:posOffset>
                  </wp:positionH>
                  <wp:positionV relativeFrom="paragraph">
                    <wp:posOffset>111125</wp:posOffset>
                  </wp:positionV>
                  <wp:extent cx="796290" cy="892810"/>
                  <wp:effectExtent l="0" t="0" r="0" b="0"/>
                  <wp:wrapSquare wrapText="bothSides"/>
                  <wp:docPr id="227"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Nicolás.jpg"/>
                          <pic:cNvPicPr/>
                        </pic:nvPicPr>
                        <pic:blipFill>
                          <a:blip r:embed="rId30">
                            <a:extLst>
                              <a:ext uri="{28A0092B-C50C-407E-A947-70E740481C1C}">
                                <a14:useLocalDpi xmlns:a14="http://schemas.microsoft.com/office/drawing/2010/main" val="0"/>
                              </a:ext>
                            </a:extLst>
                          </a:blip>
                          <a:stretch>
                            <a:fillRect/>
                          </a:stretch>
                        </pic:blipFill>
                        <pic:spPr>
                          <a:xfrm>
                            <a:off x="0" y="0"/>
                            <a:ext cx="796290" cy="892810"/>
                          </a:xfrm>
                          <a:prstGeom prst="rect">
                            <a:avLst/>
                          </a:prstGeom>
                        </pic:spPr>
                      </pic:pic>
                    </a:graphicData>
                  </a:graphic>
                  <wp14:sizeRelH relativeFrom="page">
                    <wp14:pctWidth>0</wp14:pctWidth>
                  </wp14:sizeRelH>
                  <wp14:sizeRelV relativeFrom="page">
                    <wp14:pctHeight>0</wp14:pctHeight>
                  </wp14:sizeRelV>
                </wp:anchor>
              </w:drawing>
            </w:r>
          </w:p>
        </w:tc>
        <w:tc>
          <w:tcPr>
            <w:tcW w:w="7226" w:type="dxa"/>
          </w:tcPr>
          <w:p w14:paraId="3548315C" w14:textId="77777777" w:rsidR="001E01D8" w:rsidRDefault="001E01D8" w:rsidP="001E01D8">
            <w:pPr>
              <w:widowControl w:val="0"/>
              <w:autoSpaceDE w:val="0"/>
              <w:autoSpaceDN w:val="0"/>
              <w:adjustRightInd w:val="0"/>
              <w:ind w:left="30"/>
              <w:jc w:val="both"/>
              <w:rPr>
                <w:rFonts w:eastAsia="SimSun"/>
                <w:b/>
                <w:sz w:val="18"/>
                <w:szCs w:val="18"/>
                <w:lang w:eastAsia="zh-CN"/>
              </w:rPr>
            </w:pPr>
          </w:p>
          <w:p w14:paraId="1BF04662" w14:textId="1DFAB03F" w:rsidR="001E01D8" w:rsidRPr="001E01D8" w:rsidRDefault="001E01D8" w:rsidP="001E01D8">
            <w:pPr>
              <w:widowControl w:val="0"/>
              <w:autoSpaceDE w:val="0"/>
              <w:autoSpaceDN w:val="0"/>
              <w:adjustRightInd w:val="0"/>
              <w:ind w:left="30"/>
              <w:jc w:val="both"/>
              <w:rPr>
                <w:rFonts w:eastAsia="SimSun"/>
                <w:sz w:val="18"/>
                <w:szCs w:val="18"/>
                <w:lang w:eastAsia="zh-CN"/>
              </w:rPr>
            </w:pPr>
            <w:r w:rsidRPr="001E01D8">
              <w:rPr>
                <w:rFonts w:eastAsia="SimSun"/>
                <w:b/>
                <w:sz w:val="18"/>
                <w:szCs w:val="18"/>
                <w:lang w:eastAsia="zh-CN"/>
              </w:rPr>
              <w:t>Nicolas Escalante</w:t>
            </w:r>
            <w:r w:rsidRPr="001E01D8">
              <w:rPr>
                <w:rFonts w:eastAsia="SimSun"/>
                <w:sz w:val="18"/>
                <w:szCs w:val="18"/>
                <w:lang w:eastAsia="zh-CN"/>
              </w:rPr>
              <w:t xml:space="preserve"> received his M.Sc. in Air Quality Control from Stuttgart University in 2003. He has extensive experience in management and sustainable use of solid, hazardous and contaminated sites, system dynamics and systemic thinking. His areas of interest are Solid Waste Management, Waste Engineering and modeling.</w:t>
            </w:r>
          </w:p>
          <w:p w14:paraId="7833FF70" w14:textId="528A3A6D" w:rsidR="00761756" w:rsidRDefault="00761756" w:rsidP="009C0534">
            <w:pPr>
              <w:autoSpaceDE w:val="0"/>
              <w:autoSpaceDN w:val="0"/>
              <w:adjustRightInd w:val="0"/>
              <w:jc w:val="both"/>
              <w:rPr>
                <w:rFonts w:eastAsia="SimSun"/>
                <w:b/>
                <w:sz w:val="18"/>
                <w:szCs w:val="18"/>
                <w:lang w:eastAsia="zh-CN"/>
              </w:rPr>
            </w:pPr>
          </w:p>
        </w:tc>
      </w:tr>
    </w:tbl>
    <w:p w14:paraId="02BD9B9E" w14:textId="77777777" w:rsidR="00231A19" w:rsidRDefault="00231A19" w:rsidP="00231A19">
      <w:pPr>
        <w:jc w:val="both"/>
        <w:rPr>
          <w:color w:val="000000"/>
          <w:sz w:val="18"/>
          <w:szCs w:val="18"/>
        </w:rPr>
      </w:pPr>
    </w:p>
    <w:sectPr w:rsidR="00231A19" w:rsidSect="00957C11">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37087" w14:textId="77777777" w:rsidR="00727447" w:rsidRDefault="00727447">
      <w:r>
        <w:separator/>
      </w:r>
    </w:p>
  </w:endnote>
  <w:endnote w:type="continuationSeparator" w:id="0">
    <w:p w14:paraId="7DC63283" w14:textId="77777777" w:rsidR="00727447" w:rsidRDefault="0072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9BC1" w14:textId="77777777" w:rsidR="00727447" w:rsidRPr="003D5B84" w:rsidRDefault="00727447" w:rsidP="00C07BEF">
    <w:pPr>
      <w:pStyle w:val="Encabezado"/>
      <w:tabs>
        <w:tab w:val="clear" w:pos="4320"/>
        <w:tab w:val="clear" w:pos="8640"/>
        <w:tab w:val="left" w:pos="2992"/>
      </w:tabs>
      <w:spacing w:before="240"/>
    </w:pPr>
    <w:r>
      <w:rPr>
        <w:noProof/>
        <w:lang w:val="es-CO" w:eastAsia="es-CO"/>
      </w:rPr>
      <mc:AlternateContent>
        <mc:Choice Requires="wps">
          <w:drawing>
            <wp:anchor distT="0" distB="0" distL="114300" distR="114300" simplePos="0" relativeHeight="251656704" behindDoc="0" locked="0" layoutInCell="1" allowOverlap="1" wp14:anchorId="3A1A1462" wp14:editId="158CC880">
              <wp:simplePos x="0" y="0"/>
              <wp:positionH relativeFrom="column">
                <wp:posOffset>-12065</wp:posOffset>
              </wp:positionH>
              <wp:positionV relativeFrom="paragraph">
                <wp:posOffset>145415</wp:posOffset>
              </wp:positionV>
              <wp:extent cx="5580380" cy="0"/>
              <wp:effectExtent l="13335" t="18415" r="19685" b="19685"/>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1179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174F" w14:textId="2810047C" w:rsidR="00727447" w:rsidRPr="00C07BEF" w:rsidRDefault="00727447" w:rsidP="0094367D">
    <w:pPr>
      <w:pStyle w:val="Piedepgina"/>
      <w:pBdr>
        <w:top w:val="single" w:sz="4" w:space="1" w:color="auto"/>
      </w:pBdr>
      <w:jc w:val="right"/>
      <w:rPr>
        <w:i/>
      </w:rPr>
    </w:pPr>
    <w:r>
      <w:rPr>
        <w:i/>
      </w:rPr>
      <w:t>Model for evaluating CO2 emissions and the projection of the transport sector</w:t>
    </w:r>
    <w:r w:rsidRPr="00C07BEF">
      <w:rPr>
        <w:i/>
      </w:rPr>
      <w:t xml:space="preserve"> (</w:t>
    </w:r>
    <w:r>
      <w:rPr>
        <w:i/>
      </w:rPr>
      <w:t>Daniel Ospina</w:t>
    </w:r>
    <w:r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1188B" w14:textId="77777777" w:rsidR="00727447" w:rsidRPr="003D5B84" w:rsidRDefault="00727447" w:rsidP="00C07BEF">
    <w:pPr>
      <w:pStyle w:val="Piedepgina"/>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AE0CB" w14:textId="77777777" w:rsidR="00727447" w:rsidRDefault="00727447">
      <w:r>
        <w:separator/>
      </w:r>
    </w:p>
  </w:footnote>
  <w:footnote w:type="continuationSeparator" w:id="0">
    <w:p w14:paraId="71E1B779" w14:textId="77777777" w:rsidR="00727447" w:rsidRDefault="00727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ECFA" w14:textId="77777777" w:rsidR="00727447" w:rsidRPr="003D5B84" w:rsidRDefault="00727447" w:rsidP="008B04B3">
    <w:pPr>
      <w:pStyle w:val="Encabezado"/>
      <w:framePr w:wrap="around" w:vAnchor="text" w:hAnchor="margin" w:xAlign="outside" w:y="1"/>
      <w:rPr>
        <w:rStyle w:val="Nmerodepgina"/>
      </w:rPr>
    </w:pPr>
    <w:r w:rsidRPr="003D5B84">
      <w:rPr>
        <w:rStyle w:val="Nmerodepgina"/>
      </w:rPr>
      <w:fldChar w:fldCharType="begin"/>
    </w:r>
    <w:r w:rsidRPr="003D5B84">
      <w:rPr>
        <w:rStyle w:val="Nmerodepgina"/>
      </w:rPr>
      <w:instrText xml:space="preserve">PAGE  </w:instrText>
    </w:r>
    <w:r w:rsidRPr="003D5B84">
      <w:rPr>
        <w:rStyle w:val="Nmerodepgina"/>
      </w:rPr>
      <w:fldChar w:fldCharType="separate"/>
    </w:r>
    <w:r w:rsidR="00155DEE">
      <w:rPr>
        <w:rStyle w:val="Nmerodepgina"/>
        <w:noProof/>
      </w:rPr>
      <w:t>38</w:t>
    </w:r>
    <w:r w:rsidRPr="003D5B84">
      <w:rPr>
        <w:rStyle w:val="Nmerodepgina"/>
      </w:rPr>
      <w:fldChar w:fldCharType="end"/>
    </w:r>
  </w:p>
  <w:p w14:paraId="1A4EF103" w14:textId="77777777" w:rsidR="00727447" w:rsidRPr="003D5B84" w:rsidRDefault="00727447" w:rsidP="00C07BEF">
    <w:pPr>
      <w:pStyle w:val="Encabezado"/>
      <w:tabs>
        <w:tab w:val="clear" w:pos="4320"/>
        <w:tab w:val="clear" w:pos="8640"/>
        <w:tab w:val="right" w:pos="851"/>
        <w:tab w:val="left" w:pos="3405"/>
        <w:tab w:val="right" w:pos="8789"/>
      </w:tabs>
      <w:spacing w:after="240"/>
    </w:pPr>
    <w:r>
      <w:rPr>
        <w:noProof/>
        <w:lang w:val="es-CO" w:eastAsia="es-CO"/>
      </w:rPr>
      <mc:AlternateContent>
        <mc:Choice Requires="wps">
          <w:drawing>
            <wp:anchor distT="0" distB="0" distL="114300" distR="114300" simplePos="0" relativeHeight="251658752" behindDoc="0" locked="0" layoutInCell="1" allowOverlap="1" wp14:anchorId="51C0D1DB" wp14:editId="6D3F8D3B">
              <wp:simplePos x="0" y="0"/>
              <wp:positionH relativeFrom="column">
                <wp:posOffset>23495</wp:posOffset>
              </wp:positionH>
              <wp:positionV relativeFrom="paragraph">
                <wp:posOffset>182880</wp:posOffset>
              </wp:positionV>
              <wp:extent cx="5544820" cy="0"/>
              <wp:effectExtent l="10795" t="17780" r="19685" b="2032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14DB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A0EA" w14:textId="77777777" w:rsidR="00727447" w:rsidRPr="003D5B84" w:rsidRDefault="00727447" w:rsidP="00F173DD">
    <w:pPr>
      <w:pStyle w:val="Encabezado"/>
      <w:framePr w:wrap="around" w:vAnchor="text" w:hAnchor="margin" w:xAlign="outside" w:y="1"/>
      <w:rPr>
        <w:rStyle w:val="Nmerodepgina"/>
      </w:rPr>
    </w:pPr>
    <w:r w:rsidRPr="003D5B84">
      <w:rPr>
        <w:rStyle w:val="Nmerodepgina"/>
      </w:rPr>
      <w:fldChar w:fldCharType="begin"/>
    </w:r>
    <w:r w:rsidRPr="003D5B84">
      <w:rPr>
        <w:rStyle w:val="Nmerodepgina"/>
      </w:rPr>
      <w:instrText xml:space="preserve">PAGE  </w:instrText>
    </w:r>
    <w:r w:rsidRPr="003D5B84">
      <w:rPr>
        <w:rStyle w:val="Nmerodepgina"/>
      </w:rPr>
      <w:fldChar w:fldCharType="separate"/>
    </w:r>
    <w:r w:rsidR="00155DEE">
      <w:rPr>
        <w:rStyle w:val="Nmerodepgina"/>
        <w:noProof/>
      </w:rPr>
      <w:t>39</w:t>
    </w:r>
    <w:r w:rsidRPr="003D5B84">
      <w:rPr>
        <w:rStyle w:val="Nmerodepgina"/>
      </w:rPr>
      <w:fldChar w:fldCharType="end"/>
    </w:r>
  </w:p>
  <w:p w14:paraId="35E7E815" w14:textId="77777777" w:rsidR="00727447" w:rsidRPr="003D5B84" w:rsidRDefault="00727447" w:rsidP="00C07BEF">
    <w:pPr>
      <w:pStyle w:val="Encabezado"/>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14:paraId="1CBF3483" w14:textId="77777777" w:rsidR="00727447" w:rsidRPr="003D5B84" w:rsidRDefault="00727447" w:rsidP="0094367D">
    <w:pPr>
      <w:pStyle w:val="Encabezado"/>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9BF7" w14:textId="77777777" w:rsidR="00727447" w:rsidRPr="003D5B84" w:rsidRDefault="00727447" w:rsidP="008B04B3">
    <w:pPr>
      <w:pStyle w:val="Encabezado"/>
      <w:tabs>
        <w:tab w:val="clear" w:pos="4320"/>
        <w:tab w:val="clear" w:pos="8640"/>
      </w:tabs>
      <w:ind w:right="45"/>
      <w:rPr>
        <w:b/>
      </w:rPr>
    </w:pPr>
    <w:r w:rsidRPr="003D5B84">
      <w:rPr>
        <w:b/>
      </w:rPr>
      <w:t>International Journal of Electrical and Computer Engineering (IJECE)</w:t>
    </w:r>
  </w:p>
  <w:p w14:paraId="02340CA7" w14:textId="77777777" w:rsidR="00727447" w:rsidRPr="003D5B84" w:rsidRDefault="00727447" w:rsidP="008B04B3">
    <w:pPr>
      <w:pStyle w:val="Encabezado"/>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14:paraId="21D625CF" w14:textId="77777777" w:rsidR="00727447" w:rsidRPr="003D5B84" w:rsidRDefault="00727447" w:rsidP="00957C11">
    <w:pPr>
      <w:pStyle w:val="Encabezado"/>
      <w:tabs>
        <w:tab w:val="clear" w:pos="4320"/>
        <w:tab w:val="clear" w:pos="8640"/>
        <w:tab w:val="left" w:pos="7938"/>
        <w:tab w:val="right" w:pos="8789"/>
      </w:tabs>
      <w:rPr>
        <w:rStyle w:val="Nmerodepgina"/>
      </w:rPr>
    </w:pPr>
    <w:r w:rsidRPr="003D5B84">
      <w:t>ISSN: 2088-8708</w:t>
    </w:r>
    <w:r w:rsidRPr="003D5B84">
      <w:tab/>
    </w:r>
    <w:r>
      <w:sym w:font="Wingdings" w:char="F072"/>
    </w:r>
    <w:r w:rsidRPr="003D5B84">
      <w:t xml:space="preserve">    </w:t>
    </w:r>
    <w:r w:rsidRPr="003D5B84">
      <w:tab/>
    </w:r>
    <w:r w:rsidRPr="003D5B84">
      <w:rPr>
        <w:rStyle w:val="Nmerodepgina"/>
      </w:rPr>
      <w:fldChar w:fldCharType="begin"/>
    </w:r>
    <w:r w:rsidRPr="003D5B84">
      <w:rPr>
        <w:rStyle w:val="Nmerodepgina"/>
      </w:rPr>
      <w:instrText xml:space="preserve"> PAGE </w:instrText>
    </w:r>
    <w:r w:rsidRPr="003D5B84">
      <w:rPr>
        <w:rStyle w:val="Nmerodepgina"/>
      </w:rPr>
      <w:fldChar w:fldCharType="separate"/>
    </w:r>
    <w:r w:rsidR="00155DEE">
      <w:rPr>
        <w:rStyle w:val="Nmerodepgina"/>
        <w:noProof/>
      </w:rPr>
      <w:t>31</w:t>
    </w:r>
    <w:r w:rsidRPr="003D5B84">
      <w:rPr>
        <w:rStyle w:val="Nmerodepgina"/>
      </w:rPr>
      <w:fldChar w:fldCharType="end"/>
    </w:r>
  </w:p>
  <w:p w14:paraId="2F753715" w14:textId="77777777" w:rsidR="00727447" w:rsidRPr="003D5B84" w:rsidRDefault="00727447" w:rsidP="008B04B3">
    <w:pPr>
      <w:pStyle w:val="Encabezado"/>
      <w:tabs>
        <w:tab w:val="clear" w:pos="4320"/>
        <w:tab w:val="clear" w:pos="8640"/>
      </w:tabs>
      <w:ind w:right="45"/>
      <w:jc w:val="right"/>
      <w:rPr>
        <w:rStyle w:val="Nmerodepgina"/>
      </w:rPr>
    </w:pPr>
    <w:r>
      <w:rPr>
        <w:noProof/>
        <w:lang w:val="es-CO" w:eastAsia="es-CO"/>
      </w:rPr>
      <mc:AlternateContent>
        <mc:Choice Requires="wps">
          <w:drawing>
            <wp:anchor distT="0" distB="0" distL="114300" distR="114300" simplePos="0" relativeHeight="251657728" behindDoc="0" locked="0" layoutInCell="1" allowOverlap="1" wp14:anchorId="54F48242" wp14:editId="4335FAD0">
              <wp:simplePos x="0" y="0"/>
              <wp:positionH relativeFrom="column">
                <wp:posOffset>4445</wp:posOffset>
              </wp:positionH>
              <wp:positionV relativeFrom="paragraph">
                <wp:posOffset>40005</wp:posOffset>
              </wp:positionV>
              <wp:extent cx="5601970" cy="0"/>
              <wp:effectExtent l="17145" t="14605" r="19685" b="234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F8280"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" strokeweight="1pt"/>
          </w:pict>
        </mc:Fallback>
      </mc:AlternateContent>
    </w:r>
    <w:r w:rsidRPr="003D5B84">
      <w:rPr>
        <w:rStyle w:val="Nmerodepgin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4F8E6A4"/>
    <w:lvl w:ilvl="0">
      <w:start w:val="1"/>
      <w:numFmt w:val="decimal"/>
      <w:lvlText w:val="%1."/>
      <w:lvlJc w:val="left"/>
      <w:pPr>
        <w:tabs>
          <w:tab w:val="num" w:pos="360"/>
        </w:tabs>
        <w:ind w:left="360" w:hanging="360"/>
      </w:pPr>
    </w:lvl>
  </w:abstractNum>
  <w:abstractNum w:abstractNumId="1" w15:restartNumberingAfterBreak="0">
    <w:nsid w:val="104E4687"/>
    <w:multiLevelType w:val="hybridMultilevel"/>
    <w:tmpl w:val="FDEE2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3"/>
  </w:num>
  <w:num w:numId="11">
    <w:abstractNumId w:val="2"/>
  </w:num>
  <w:num w:numId="12">
    <w:abstractNumId w:val="5"/>
  </w:num>
  <w:num w:numId="13">
    <w:abstractNumId w:val="4"/>
  </w:num>
  <w:num w:numId="14">
    <w:abstractNumId w:val="6"/>
  </w:num>
  <w:num w:numId="15">
    <w:abstractNumId w:val="17"/>
  </w:num>
  <w:num w:numId="16">
    <w:abstractNumId w:val="7"/>
  </w:num>
  <w:num w:numId="17">
    <w:abstractNumId w:val="16"/>
  </w:num>
  <w:num w:numId="18">
    <w:abstractNumId w:val="1"/>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1DC8"/>
    <w:rsid w:val="0007236F"/>
    <w:rsid w:val="00073635"/>
    <w:rsid w:val="00076C16"/>
    <w:rsid w:val="000776D4"/>
    <w:rsid w:val="00080CCD"/>
    <w:rsid w:val="000830A2"/>
    <w:rsid w:val="00083B9D"/>
    <w:rsid w:val="00083DD6"/>
    <w:rsid w:val="00084E32"/>
    <w:rsid w:val="00085121"/>
    <w:rsid w:val="00086551"/>
    <w:rsid w:val="000877AC"/>
    <w:rsid w:val="00087876"/>
    <w:rsid w:val="00087AF7"/>
    <w:rsid w:val="00090591"/>
    <w:rsid w:val="00090B78"/>
    <w:rsid w:val="00093380"/>
    <w:rsid w:val="00094EB8"/>
    <w:rsid w:val="00095C3E"/>
    <w:rsid w:val="00096883"/>
    <w:rsid w:val="000973CC"/>
    <w:rsid w:val="00097958"/>
    <w:rsid w:val="00097E2D"/>
    <w:rsid w:val="000A15DA"/>
    <w:rsid w:val="000A43A3"/>
    <w:rsid w:val="000A4795"/>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61E4"/>
    <w:rsid w:val="000E62A3"/>
    <w:rsid w:val="000E708C"/>
    <w:rsid w:val="000F279B"/>
    <w:rsid w:val="000F29E1"/>
    <w:rsid w:val="000F38CD"/>
    <w:rsid w:val="000F61E2"/>
    <w:rsid w:val="000F7ED5"/>
    <w:rsid w:val="0010046E"/>
    <w:rsid w:val="00101B4E"/>
    <w:rsid w:val="00102A61"/>
    <w:rsid w:val="001041EB"/>
    <w:rsid w:val="00104BF1"/>
    <w:rsid w:val="00106F02"/>
    <w:rsid w:val="001078A8"/>
    <w:rsid w:val="00107904"/>
    <w:rsid w:val="001129DE"/>
    <w:rsid w:val="0011369D"/>
    <w:rsid w:val="00113F18"/>
    <w:rsid w:val="00114470"/>
    <w:rsid w:val="00115FD9"/>
    <w:rsid w:val="00117326"/>
    <w:rsid w:val="00117C85"/>
    <w:rsid w:val="00121C37"/>
    <w:rsid w:val="00122833"/>
    <w:rsid w:val="00122AE4"/>
    <w:rsid w:val="00125C41"/>
    <w:rsid w:val="00126B1A"/>
    <w:rsid w:val="0013179E"/>
    <w:rsid w:val="00131A6C"/>
    <w:rsid w:val="00131E4C"/>
    <w:rsid w:val="00133753"/>
    <w:rsid w:val="00133B59"/>
    <w:rsid w:val="00136716"/>
    <w:rsid w:val="00137465"/>
    <w:rsid w:val="00137E25"/>
    <w:rsid w:val="00137F36"/>
    <w:rsid w:val="001434C3"/>
    <w:rsid w:val="001441CB"/>
    <w:rsid w:val="00145453"/>
    <w:rsid w:val="0014611F"/>
    <w:rsid w:val="00146861"/>
    <w:rsid w:val="001517E4"/>
    <w:rsid w:val="00151E7C"/>
    <w:rsid w:val="00153387"/>
    <w:rsid w:val="001544C1"/>
    <w:rsid w:val="00154C55"/>
    <w:rsid w:val="00155DEE"/>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29EE"/>
    <w:rsid w:val="001A33EF"/>
    <w:rsid w:val="001B2439"/>
    <w:rsid w:val="001B2EF9"/>
    <w:rsid w:val="001B4AB3"/>
    <w:rsid w:val="001B5250"/>
    <w:rsid w:val="001B5719"/>
    <w:rsid w:val="001B621C"/>
    <w:rsid w:val="001B64D0"/>
    <w:rsid w:val="001B7915"/>
    <w:rsid w:val="001C0FE6"/>
    <w:rsid w:val="001C19EB"/>
    <w:rsid w:val="001C1DDC"/>
    <w:rsid w:val="001C29B1"/>
    <w:rsid w:val="001C7AC5"/>
    <w:rsid w:val="001D04CA"/>
    <w:rsid w:val="001D19C3"/>
    <w:rsid w:val="001D218B"/>
    <w:rsid w:val="001E01D8"/>
    <w:rsid w:val="001E1922"/>
    <w:rsid w:val="001E2071"/>
    <w:rsid w:val="001E21A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324"/>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891"/>
    <w:rsid w:val="00281D99"/>
    <w:rsid w:val="002821B9"/>
    <w:rsid w:val="0028450D"/>
    <w:rsid w:val="00291EBF"/>
    <w:rsid w:val="00296D8E"/>
    <w:rsid w:val="002A0772"/>
    <w:rsid w:val="002A4DF8"/>
    <w:rsid w:val="002B0601"/>
    <w:rsid w:val="002B10C7"/>
    <w:rsid w:val="002B66EF"/>
    <w:rsid w:val="002B6EC9"/>
    <w:rsid w:val="002B7609"/>
    <w:rsid w:val="002C062B"/>
    <w:rsid w:val="002C0665"/>
    <w:rsid w:val="002C2C92"/>
    <w:rsid w:val="002C4749"/>
    <w:rsid w:val="002C6317"/>
    <w:rsid w:val="002D07B9"/>
    <w:rsid w:val="002D0C71"/>
    <w:rsid w:val="002D0F04"/>
    <w:rsid w:val="002D31A6"/>
    <w:rsid w:val="002D4A56"/>
    <w:rsid w:val="002D797A"/>
    <w:rsid w:val="002D7D9B"/>
    <w:rsid w:val="002E0BC4"/>
    <w:rsid w:val="002E184C"/>
    <w:rsid w:val="002E2CAE"/>
    <w:rsid w:val="002E6409"/>
    <w:rsid w:val="002F137A"/>
    <w:rsid w:val="002F267D"/>
    <w:rsid w:val="002F3D30"/>
    <w:rsid w:val="002F41A4"/>
    <w:rsid w:val="002F48E3"/>
    <w:rsid w:val="002F6BBA"/>
    <w:rsid w:val="002F6DFA"/>
    <w:rsid w:val="002F7C5F"/>
    <w:rsid w:val="0030038F"/>
    <w:rsid w:val="00300CB8"/>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476F2"/>
    <w:rsid w:val="0035076B"/>
    <w:rsid w:val="00352BEB"/>
    <w:rsid w:val="00353885"/>
    <w:rsid w:val="00361EB1"/>
    <w:rsid w:val="003629D1"/>
    <w:rsid w:val="003637CE"/>
    <w:rsid w:val="003715EC"/>
    <w:rsid w:val="00373753"/>
    <w:rsid w:val="00376867"/>
    <w:rsid w:val="00376A96"/>
    <w:rsid w:val="003772AC"/>
    <w:rsid w:val="00381E56"/>
    <w:rsid w:val="003826FF"/>
    <w:rsid w:val="0038665A"/>
    <w:rsid w:val="00393D64"/>
    <w:rsid w:val="00393D9D"/>
    <w:rsid w:val="00393E61"/>
    <w:rsid w:val="0039444E"/>
    <w:rsid w:val="00396D02"/>
    <w:rsid w:val="003A0041"/>
    <w:rsid w:val="003A1C3E"/>
    <w:rsid w:val="003A2970"/>
    <w:rsid w:val="003A3BE1"/>
    <w:rsid w:val="003A5088"/>
    <w:rsid w:val="003A76F2"/>
    <w:rsid w:val="003A7D80"/>
    <w:rsid w:val="003B0E46"/>
    <w:rsid w:val="003B14AA"/>
    <w:rsid w:val="003B19C7"/>
    <w:rsid w:val="003B25A5"/>
    <w:rsid w:val="003B3120"/>
    <w:rsid w:val="003B3537"/>
    <w:rsid w:val="003B567E"/>
    <w:rsid w:val="003B61B8"/>
    <w:rsid w:val="003B6932"/>
    <w:rsid w:val="003B79EB"/>
    <w:rsid w:val="003B7ED0"/>
    <w:rsid w:val="003C0D91"/>
    <w:rsid w:val="003C3E42"/>
    <w:rsid w:val="003C4B05"/>
    <w:rsid w:val="003C72E2"/>
    <w:rsid w:val="003D07D2"/>
    <w:rsid w:val="003D5B84"/>
    <w:rsid w:val="003D79CF"/>
    <w:rsid w:val="003E0207"/>
    <w:rsid w:val="003E0A82"/>
    <w:rsid w:val="003E304D"/>
    <w:rsid w:val="003E4823"/>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2CDB"/>
    <w:rsid w:val="00443205"/>
    <w:rsid w:val="004439D2"/>
    <w:rsid w:val="004503E9"/>
    <w:rsid w:val="00453463"/>
    <w:rsid w:val="004550E4"/>
    <w:rsid w:val="004637E8"/>
    <w:rsid w:val="00467368"/>
    <w:rsid w:val="004674CD"/>
    <w:rsid w:val="004710EE"/>
    <w:rsid w:val="00472E56"/>
    <w:rsid w:val="004740EC"/>
    <w:rsid w:val="00481816"/>
    <w:rsid w:val="004819CF"/>
    <w:rsid w:val="00481DA2"/>
    <w:rsid w:val="00482432"/>
    <w:rsid w:val="00484866"/>
    <w:rsid w:val="004859D6"/>
    <w:rsid w:val="00485FD1"/>
    <w:rsid w:val="0048797E"/>
    <w:rsid w:val="00487DD3"/>
    <w:rsid w:val="00490253"/>
    <w:rsid w:val="004902C8"/>
    <w:rsid w:val="004905D4"/>
    <w:rsid w:val="00492E44"/>
    <w:rsid w:val="004947B9"/>
    <w:rsid w:val="0049514C"/>
    <w:rsid w:val="00496DFD"/>
    <w:rsid w:val="0049758A"/>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B5E"/>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65F"/>
    <w:rsid w:val="0050794C"/>
    <w:rsid w:val="0051075B"/>
    <w:rsid w:val="00511236"/>
    <w:rsid w:val="00511539"/>
    <w:rsid w:val="00512DE0"/>
    <w:rsid w:val="0051361F"/>
    <w:rsid w:val="00515455"/>
    <w:rsid w:val="00516317"/>
    <w:rsid w:val="005174FF"/>
    <w:rsid w:val="00520EC3"/>
    <w:rsid w:val="0052138C"/>
    <w:rsid w:val="005213A1"/>
    <w:rsid w:val="005222D2"/>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44"/>
    <w:rsid w:val="0058326E"/>
    <w:rsid w:val="005833B8"/>
    <w:rsid w:val="00583A03"/>
    <w:rsid w:val="005841BA"/>
    <w:rsid w:val="00584301"/>
    <w:rsid w:val="00586D49"/>
    <w:rsid w:val="00586EE5"/>
    <w:rsid w:val="005877F2"/>
    <w:rsid w:val="00592442"/>
    <w:rsid w:val="0059283B"/>
    <w:rsid w:val="00592EEF"/>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3BF"/>
    <w:rsid w:val="005C1759"/>
    <w:rsid w:val="005C234E"/>
    <w:rsid w:val="005C6725"/>
    <w:rsid w:val="005D02EE"/>
    <w:rsid w:val="005D0C1B"/>
    <w:rsid w:val="005D210E"/>
    <w:rsid w:val="005D3D27"/>
    <w:rsid w:val="005D464B"/>
    <w:rsid w:val="005D7D3A"/>
    <w:rsid w:val="005D7EB1"/>
    <w:rsid w:val="005E0429"/>
    <w:rsid w:val="005E6EF7"/>
    <w:rsid w:val="005E736A"/>
    <w:rsid w:val="005E75FC"/>
    <w:rsid w:val="005F042D"/>
    <w:rsid w:val="005F3D1C"/>
    <w:rsid w:val="005F534C"/>
    <w:rsid w:val="005F75F8"/>
    <w:rsid w:val="0060033A"/>
    <w:rsid w:val="006044C7"/>
    <w:rsid w:val="00606D5D"/>
    <w:rsid w:val="006123B6"/>
    <w:rsid w:val="00613977"/>
    <w:rsid w:val="0061627D"/>
    <w:rsid w:val="006169A7"/>
    <w:rsid w:val="006206C7"/>
    <w:rsid w:val="00622EC4"/>
    <w:rsid w:val="0062488B"/>
    <w:rsid w:val="006327F1"/>
    <w:rsid w:val="00636167"/>
    <w:rsid w:val="00644417"/>
    <w:rsid w:val="00647075"/>
    <w:rsid w:val="00652EBE"/>
    <w:rsid w:val="006549EF"/>
    <w:rsid w:val="00655C14"/>
    <w:rsid w:val="00656420"/>
    <w:rsid w:val="00662070"/>
    <w:rsid w:val="0066237A"/>
    <w:rsid w:val="0066240C"/>
    <w:rsid w:val="006628A9"/>
    <w:rsid w:val="00665A9F"/>
    <w:rsid w:val="00665B37"/>
    <w:rsid w:val="006719D8"/>
    <w:rsid w:val="0067364F"/>
    <w:rsid w:val="00675D81"/>
    <w:rsid w:val="00675F2A"/>
    <w:rsid w:val="00676455"/>
    <w:rsid w:val="00676EB9"/>
    <w:rsid w:val="00682B00"/>
    <w:rsid w:val="00685AA5"/>
    <w:rsid w:val="00685FB4"/>
    <w:rsid w:val="006863DA"/>
    <w:rsid w:val="00687CA7"/>
    <w:rsid w:val="00687D3A"/>
    <w:rsid w:val="006925E2"/>
    <w:rsid w:val="006933E7"/>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646"/>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5908"/>
    <w:rsid w:val="00727447"/>
    <w:rsid w:val="00727876"/>
    <w:rsid w:val="00731AEB"/>
    <w:rsid w:val="0074035C"/>
    <w:rsid w:val="00740C36"/>
    <w:rsid w:val="00741A8F"/>
    <w:rsid w:val="00742008"/>
    <w:rsid w:val="00743A47"/>
    <w:rsid w:val="00743BA0"/>
    <w:rsid w:val="00747DFD"/>
    <w:rsid w:val="00754329"/>
    <w:rsid w:val="007547A1"/>
    <w:rsid w:val="00756A93"/>
    <w:rsid w:val="0075769A"/>
    <w:rsid w:val="00761756"/>
    <w:rsid w:val="00765DEF"/>
    <w:rsid w:val="00766E46"/>
    <w:rsid w:val="00770E6E"/>
    <w:rsid w:val="00771A7C"/>
    <w:rsid w:val="0077230A"/>
    <w:rsid w:val="00772725"/>
    <w:rsid w:val="00773EB7"/>
    <w:rsid w:val="007751AA"/>
    <w:rsid w:val="00777AD7"/>
    <w:rsid w:val="007821C7"/>
    <w:rsid w:val="007827BF"/>
    <w:rsid w:val="00782A2E"/>
    <w:rsid w:val="007912CE"/>
    <w:rsid w:val="0079451D"/>
    <w:rsid w:val="00795873"/>
    <w:rsid w:val="007A04C8"/>
    <w:rsid w:val="007A3102"/>
    <w:rsid w:val="007A3B30"/>
    <w:rsid w:val="007A3FC0"/>
    <w:rsid w:val="007A49BA"/>
    <w:rsid w:val="007A609F"/>
    <w:rsid w:val="007A7484"/>
    <w:rsid w:val="007B57A1"/>
    <w:rsid w:val="007B7535"/>
    <w:rsid w:val="007C0D3D"/>
    <w:rsid w:val="007C1A5A"/>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7F7841"/>
    <w:rsid w:val="008042C8"/>
    <w:rsid w:val="0080452B"/>
    <w:rsid w:val="00805CFD"/>
    <w:rsid w:val="00807F15"/>
    <w:rsid w:val="008117A3"/>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291"/>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0D52"/>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642C"/>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534"/>
    <w:rsid w:val="009C080D"/>
    <w:rsid w:val="009C5293"/>
    <w:rsid w:val="009D41DF"/>
    <w:rsid w:val="009D709E"/>
    <w:rsid w:val="009E0249"/>
    <w:rsid w:val="009E055A"/>
    <w:rsid w:val="009E0F0F"/>
    <w:rsid w:val="009E20F1"/>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1EB7"/>
    <w:rsid w:val="00A32B25"/>
    <w:rsid w:val="00A3340E"/>
    <w:rsid w:val="00A42248"/>
    <w:rsid w:val="00A426C8"/>
    <w:rsid w:val="00A42ABF"/>
    <w:rsid w:val="00A4427E"/>
    <w:rsid w:val="00A46733"/>
    <w:rsid w:val="00A46ECF"/>
    <w:rsid w:val="00A477B8"/>
    <w:rsid w:val="00A47AD5"/>
    <w:rsid w:val="00A47F03"/>
    <w:rsid w:val="00A51621"/>
    <w:rsid w:val="00A51683"/>
    <w:rsid w:val="00A51892"/>
    <w:rsid w:val="00A52037"/>
    <w:rsid w:val="00A52149"/>
    <w:rsid w:val="00A55B64"/>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0A82"/>
    <w:rsid w:val="00AB1CD7"/>
    <w:rsid w:val="00AB1F5C"/>
    <w:rsid w:val="00AB4311"/>
    <w:rsid w:val="00AB49DA"/>
    <w:rsid w:val="00AB59A7"/>
    <w:rsid w:val="00AB68F7"/>
    <w:rsid w:val="00AC077B"/>
    <w:rsid w:val="00AC0C82"/>
    <w:rsid w:val="00AC1F08"/>
    <w:rsid w:val="00AC60ED"/>
    <w:rsid w:val="00AD1951"/>
    <w:rsid w:val="00AD2373"/>
    <w:rsid w:val="00AD564C"/>
    <w:rsid w:val="00AD7639"/>
    <w:rsid w:val="00AE3182"/>
    <w:rsid w:val="00AE43A3"/>
    <w:rsid w:val="00AE779F"/>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30AA"/>
    <w:rsid w:val="00B34812"/>
    <w:rsid w:val="00B357AE"/>
    <w:rsid w:val="00B37E57"/>
    <w:rsid w:val="00B40597"/>
    <w:rsid w:val="00B42FA5"/>
    <w:rsid w:val="00B514D3"/>
    <w:rsid w:val="00B51BC7"/>
    <w:rsid w:val="00B52134"/>
    <w:rsid w:val="00B56063"/>
    <w:rsid w:val="00B570B0"/>
    <w:rsid w:val="00B57714"/>
    <w:rsid w:val="00B61620"/>
    <w:rsid w:val="00B63673"/>
    <w:rsid w:val="00B64061"/>
    <w:rsid w:val="00B65BB6"/>
    <w:rsid w:val="00B7048C"/>
    <w:rsid w:val="00B71D8A"/>
    <w:rsid w:val="00B722CA"/>
    <w:rsid w:val="00B73F7D"/>
    <w:rsid w:val="00B743B9"/>
    <w:rsid w:val="00B768D7"/>
    <w:rsid w:val="00B778A3"/>
    <w:rsid w:val="00B809F3"/>
    <w:rsid w:val="00B85932"/>
    <w:rsid w:val="00B87588"/>
    <w:rsid w:val="00B92474"/>
    <w:rsid w:val="00B9353E"/>
    <w:rsid w:val="00BA040F"/>
    <w:rsid w:val="00BA2419"/>
    <w:rsid w:val="00BB0F2F"/>
    <w:rsid w:val="00BB154D"/>
    <w:rsid w:val="00BB1799"/>
    <w:rsid w:val="00BB1C66"/>
    <w:rsid w:val="00BB25CE"/>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0E7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1FC2"/>
    <w:rsid w:val="00C22F0A"/>
    <w:rsid w:val="00C2325B"/>
    <w:rsid w:val="00C25B1C"/>
    <w:rsid w:val="00C26299"/>
    <w:rsid w:val="00C275A1"/>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845"/>
    <w:rsid w:val="00C96FCA"/>
    <w:rsid w:val="00C9754D"/>
    <w:rsid w:val="00C975DF"/>
    <w:rsid w:val="00CA5D84"/>
    <w:rsid w:val="00CC1960"/>
    <w:rsid w:val="00CD147D"/>
    <w:rsid w:val="00CE192C"/>
    <w:rsid w:val="00CE1CF3"/>
    <w:rsid w:val="00CE70F3"/>
    <w:rsid w:val="00CE7659"/>
    <w:rsid w:val="00CF0E18"/>
    <w:rsid w:val="00CF29A4"/>
    <w:rsid w:val="00CF2F2E"/>
    <w:rsid w:val="00CF624D"/>
    <w:rsid w:val="00CF6E34"/>
    <w:rsid w:val="00CF7215"/>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CCB"/>
    <w:rsid w:val="00D51E72"/>
    <w:rsid w:val="00D520E6"/>
    <w:rsid w:val="00D534EA"/>
    <w:rsid w:val="00D540A4"/>
    <w:rsid w:val="00D54DBC"/>
    <w:rsid w:val="00D570F3"/>
    <w:rsid w:val="00D61C85"/>
    <w:rsid w:val="00D624E5"/>
    <w:rsid w:val="00D634A8"/>
    <w:rsid w:val="00D64C3D"/>
    <w:rsid w:val="00D65A1C"/>
    <w:rsid w:val="00D66FB8"/>
    <w:rsid w:val="00D67099"/>
    <w:rsid w:val="00D71939"/>
    <w:rsid w:val="00D72D27"/>
    <w:rsid w:val="00D73317"/>
    <w:rsid w:val="00D743C8"/>
    <w:rsid w:val="00D743DA"/>
    <w:rsid w:val="00D744B5"/>
    <w:rsid w:val="00D745B1"/>
    <w:rsid w:val="00D74C5F"/>
    <w:rsid w:val="00D753F3"/>
    <w:rsid w:val="00D81A74"/>
    <w:rsid w:val="00D82B46"/>
    <w:rsid w:val="00D83117"/>
    <w:rsid w:val="00D9045B"/>
    <w:rsid w:val="00D90EA9"/>
    <w:rsid w:val="00D941C3"/>
    <w:rsid w:val="00D94A99"/>
    <w:rsid w:val="00D94CEF"/>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6203"/>
    <w:rsid w:val="00E12071"/>
    <w:rsid w:val="00E12660"/>
    <w:rsid w:val="00E12838"/>
    <w:rsid w:val="00E15BBF"/>
    <w:rsid w:val="00E15ECD"/>
    <w:rsid w:val="00E20A8A"/>
    <w:rsid w:val="00E23F00"/>
    <w:rsid w:val="00E2599A"/>
    <w:rsid w:val="00E26A0F"/>
    <w:rsid w:val="00E31427"/>
    <w:rsid w:val="00E318D4"/>
    <w:rsid w:val="00E339EE"/>
    <w:rsid w:val="00E3557A"/>
    <w:rsid w:val="00E4014C"/>
    <w:rsid w:val="00E401FC"/>
    <w:rsid w:val="00E41846"/>
    <w:rsid w:val="00E42D1B"/>
    <w:rsid w:val="00E46C0B"/>
    <w:rsid w:val="00E46FAB"/>
    <w:rsid w:val="00E474DC"/>
    <w:rsid w:val="00E5155C"/>
    <w:rsid w:val="00E55EA9"/>
    <w:rsid w:val="00E56307"/>
    <w:rsid w:val="00E56D55"/>
    <w:rsid w:val="00E56F52"/>
    <w:rsid w:val="00E57F76"/>
    <w:rsid w:val="00E60696"/>
    <w:rsid w:val="00E62028"/>
    <w:rsid w:val="00E6393C"/>
    <w:rsid w:val="00E6745D"/>
    <w:rsid w:val="00E67E51"/>
    <w:rsid w:val="00E759C8"/>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3ADC"/>
    <w:rsid w:val="00EE4290"/>
    <w:rsid w:val="00EE589E"/>
    <w:rsid w:val="00EE76D0"/>
    <w:rsid w:val="00EE7C89"/>
    <w:rsid w:val="00EF1185"/>
    <w:rsid w:val="00EF754D"/>
    <w:rsid w:val="00F027E9"/>
    <w:rsid w:val="00F039F2"/>
    <w:rsid w:val="00F07095"/>
    <w:rsid w:val="00F0775E"/>
    <w:rsid w:val="00F15F69"/>
    <w:rsid w:val="00F1612D"/>
    <w:rsid w:val="00F173DD"/>
    <w:rsid w:val="00F2102D"/>
    <w:rsid w:val="00F21119"/>
    <w:rsid w:val="00F25164"/>
    <w:rsid w:val="00F252D5"/>
    <w:rsid w:val="00F277D3"/>
    <w:rsid w:val="00F30997"/>
    <w:rsid w:val="00F32896"/>
    <w:rsid w:val="00F33C08"/>
    <w:rsid w:val="00F35689"/>
    <w:rsid w:val="00F41AE7"/>
    <w:rsid w:val="00F41F44"/>
    <w:rsid w:val="00F42D17"/>
    <w:rsid w:val="00F457A0"/>
    <w:rsid w:val="00F46492"/>
    <w:rsid w:val="00F46B59"/>
    <w:rsid w:val="00F477B5"/>
    <w:rsid w:val="00F47B01"/>
    <w:rsid w:val="00F5057E"/>
    <w:rsid w:val="00F53410"/>
    <w:rsid w:val="00F541F8"/>
    <w:rsid w:val="00F5470A"/>
    <w:rsid w:val="00F551E6"/>
    <w:rsid w:val="00F5563D"/>
    <w:rsid w:val="00F56891"/>
    <w:rsid w:val="00F62C53"/>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1AA7"/>
    <w:rsid w:val="00FB763A"/>
    <w:rsid w:val="00FB79C0"/>
    <w:rsid w:val="00FC2EB8"/>
    <w:rsid w:val="00FC5C43"/>
    <w:rsid w:val="00FD1598"/>
    <w:rsid w:val="00FD576E"/>
    <w:rsid w:val="00FD596B"/>
    <w:rsid w:val="00FD7571"/>
    <w:rsid w:val="00FD7EB4"/>
    <w:rsid w:val="00FE58CC"/>
    <w:rsid w:val="00FE75A9"/>
    <w:rsid w:val="00FF058D"/>
    <w:rsid w:val="00FF1D8E"/>
    <w:rsid w:val="00FF2440"/>
    <w:rsid w:val="00FF322C"/>
    <w:rsid w:val="00FF5714"/>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18F89A"/>
  <w15:docId w15:val="{136C9659-D175-4AE5-84C4-86CDAB09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Ttulo1">
    <w:name w:val="heading 1"/>
    <w:basedOn w:val="Normal"/>
    <w:next w:val="Normal"/>
    <w:qFormat/>
    <w:rsid w:val="00C15A56"/>
    <w:pPr>
      <w:keepNext/>
      <w:spacing w:line="480" w:lineRule="auto"/>
      <w:jc w:val="center"/>
      <w:outlineLvl w:val="0"/>
    </w:pPr>
    <w:rPr>
      <w:b/>
      <w:bCs/>
    </w:rPr>
  </w:style>
  <w:style w:type="paragraph" w:styleId="Ttulo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B3D8C"/>
    <w:pPr>
      <w:keepNext/>
      <w:spacing w:before="240" w:after="60"/>
      <w:outlineLvl w:val="2"/>
    </w:pPr>
    <w:rPr>
      <w:rFonts w:ascii="Arial" w:hAnsi="Arial" w:cs="Arial"/>
      <w:b/>
      <w:bCs/>
      <w:sz w:val="26"/>
      <w:szCs w:val="26"/>
    </w:rPr>
  </w:style>
  <w:style w:type="paragraph" w:styleId="Ttulo4">
    <w:name w:val="heading 4"/>
    <w:basedOn w:val="Normal"/>
    <w:next w:val="Normal"/>
    <w:qFormat/>
    <w:rsid w:val="004710EE"/>
    <w:pPr>
      <w:keepNext/>
      <w:spacing w:before="240" w:after="60"/>
      <w:outlineLvl w:val="3"/>
    </w:pPr>
    <w:rPr>
      <w:b/>
      <w:bCs/>
      <w:sz w:val="28"/>
      <w:szCs w:val="28"/>
    </w:rPr>
  </w:style>
  <w:style w:type="paragraph" w:styleId="Ttulo5">
    <w:name w:val="heading 5"/>
    <w:basedOn w:val="Normal"/>
    <w:next w:val="Normal"/>
    <w:qFormat/>
    <w:rsid w:val="00DB3D8C"/>
    <w:pPr>
      <w:spacing w:before="240" w:after="60"/>
      <w:outlineLvl w:val="4"/>
    </w:pPr>
    <w:rPr>
      <w:b/>
      <w:bCs/>
      <w:i/>
      <w:iCs/>
      <w:sz w:val="26"/>
      <w:szCs w:val="26"/>
    </w:rPr>
  </w:style>
  <w:style w:type="paragraph" w:styleId="Ttulo6">
    <w:name w:val="heading 6"/>
    <w:basedOn w:val="Normal"/>
    <w:next w:val="Normal"/>
    <w:qFormat/>
    <w:rsid w:val="00097958"/>
    <w:pPr>
      <w:keepNext/>
      <w:jc w:val="center"/>
      <w:outlineLvl w:val="5"/>
    </w:pPr>
    <w:rPr>
      <w:b/>
      <w:bCs/>
      <w:i/>
      <w:iCs/>
      <w:u w:val="single"/>
    </w:rPr>
  </w:style>
  <w:style w:type="paragraph" w:styleId="Ttulo7">
    <w:name w:val="heading 7"/>
    <w:basedOn w:val="Normal"/>
    <w:next w:val="Normal"/>
    <w:qFormat/>
    <w:rsid w:val="00DB3D8C"/>
    <w:pPr>
      <w:spacing w:before="240" w:after="60"/>
      <w:outlineLvl w:val="6"/>
    </w:pPr>
    <w:rPr>
      <w:sz w:val="24"/>
      <w:szCs w:val="24"/>
    </w:rPr>
  </w:style>
  <w:style w:type="paragraph" w:styleId="Ttulo8">
    <w:name w:val="heading 8"/>
    <w:basedOn w:val="Normal"/>
    <w:next w:val="Normal"/>
    <w:qFormat/>
    <w:rsid w:val="00097958"/>
    <w:pPr>
      <w:keepNext/>
      <w:outlineLvl w:val="7"/>
    </w:pPr>
    <w:rPr>
      <w:b/>
      <w:bCs/>
      <w:lang w:val="pl-PL" w:eastAsia="pl-PL"/>
    </w:rPr>
  </w:style>
  <w:style w:type="paragraph" w:styleId="Ttulo9">
    <w:name w:val="heading 9"/>
    <w:basedOn w:val="Normal"/>
    <w:next w:val="Normal"/>
    <w:qFormat/>
    <w:rsid w:val="00097958"/>
    <w:pPr>
      <w:keepNext/>
      <w:ind w:right="-4041"/>
      <w:outlineLvl w:val="8"/>
    </w:pPr>
    <w:rPr>
      <w:b/>
      <w:bCs/>
      <w:lang w:val="en-AU" w:eastAsia="pl-P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02A61"/>
    <w:rPr>
      <w:color w:val="0000FF"/>
      <w:u w:val="single"/>
    </w:rPr>
  </w:style>
  <w:style w:type="paragraph" w:styleId="Encabezado">
    <w:name w:val="header"/>
    <w:basedOn w:val="Normal"/>
    <w:rsid w:val="0094367D"/>
    <w:pPr>
      <w:tabs>
        <w:tab w:val="center" w:pos="4320"/>
        <w:tab w:val="right" w:pos="8640"/>
      </w:tabs>
    </w:pPr>
  </w:style>
  <w:style w:type="paragraph" w:styleId="Piedepgina">
    <w:name w:val="footer"/>
    <w:basedOn w:val="Normal"/>
    <w:rsid w:val="0094367D"/>
    <w:pPr>
      <w:tabs>
        <w:tab w:val="center" w:pos="4320"/>
        <w:tab w:val="right" w:pos="8640"/>
      </w:tabs>
    </w:pPr>
  </w:style>
  <w:style w:type="character" w:styleId="Nmerodepgina">
    <w:name w:val="page number"/>
    <w:basedOn w:val="Fuentedeprrafopredeter"/>
    <w:rsid w:val="0094367D"/>
  </w:style>
  <w:style w:type="paragraph" w:styleId="Textodeglobo">
    <w:name w:val="Balloon Text"/>
    <w:basedOn w:val="Normal"/>
    <w:semiHidden/>
    <w:rsid w:val="00061D77"/>
    <w:rPr>
      <w:rFonts w:ascii="Tahoma" w:hAnsi="Tahoma"/>
      <w:sz w:val="16"/>
      <w:szCs w:val="16"/>
    </w:rPr>
  </w:style>
  <w:style w:type="paragraph" w:styleId="Sangradetextonormal">
    <w:name w:val="Body Text Indent"/>
    <w:basedOn w:val="Normal"/>
    <w:rsid w:val="00C15A56"/>
    <w:pPr>
      <w:spacing w:line="360" w:lineRule="auto"/>
      <w:ind w:left="456" w:firstLine="984"/>
      <w:jc w:val="both"/>
    </w:pPr>
    <w:rPr>
      <w:lang w:val="id-ID"/>
    </w:rPr>
  </w:style>
  <w:style w:type="paragraph" w:styleId="Sangra2detindependiente">
    <w:name w:val="Body Text Indent 2"/>
    <w:basedOn w:val="Normal"/>
    <w:rsid w:val="00C15A56"/>
    <w:pPr>
      <w:spacing w:after="120" w:line="480" w:lineRule="auto"/>
      <w:ind w:left="360"/>
    </w:pPr>
  </w:style>
  <w:style w:type="paragraph" w:styleId="Textoindependiente">
    <w:name w:val="Body Text"/>
    <w:basedOn w:val="Normal"/>
    <w:rsid w:val="00C15A56"/>
    <w:pPr>
      <w:spacing w:after="120"/>
    </w:pPr>
    <w:rPr>
      <w:lang w:val="id-ID" w:eastAsia="id-ID"/>
    </w:rPr>
  </w:style>
  <w:style w:type="paragraph" w:styleId="Descripcin">
    <w:name w:val="caption"/>
    <w:basedOn w:val="Normal"/>
    <w:next w:val="Normal"/>
    <w:uiPriority w:val="35"/>
    <w:qFormat/>
    <w:rsid w:val="00C15A56"/>
    <w:pPr>
      <w:spacing w:line="480" w:lineRule="auto"/>
      <w:jc w:val="center"/>
    </w:pPr>
    <w:rPr>
      <w:i/>
      <w:iCs/>
    </w:rPr>
  </w:style>
  <w:style w:type="character" w:styleId="Refdenotaalpie">
    <w:name w:val="footnote reference"/>
    <w:basedOn w:val="Fuentedeprrafopredeter"/>
    <w:semiHidden/>
    <w:rsid w:val="00FA0403"/>
    <w:rPr>
      <w:vertAlign w:val="superscript"/>
    </w:rPr>
  </w:style>
  <w:style w:type="paragraph" w:styleId="Textonotapi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a">
    <w:name w:val="List"/>
    <w:basedOn w:val="Normal"/>
    <w:rsid w:val="00DA0390"/>
    <w:pPr>
      <w:ind w:left="360" w:hanging="360"/>
      <w:jc w:val="center"/>
    </w:pPr>
    <w:rPr>
      <w:sz w:val="24"/>
      <w:szCs w:val="24"/>
    </w:rPr>
  </w:style>
  <w:style w:type="paragraph" w:styleId="Sangra3detindependiente">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xtoindependiente2">
    <w:name w:val="Body Text 2"/>
    <w:basedOn w:val="Normal"/>
    <w:rsid w:val="005E736A"/>
    <w:pPr>
      <w:spacing w:after="120" w:line="480" w:lineRule="auto"/>
    </w:pPr>
  </w:style>
  <w:style w:type="paragraph" w:styleId="Puesto">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Fuentedeprrafopredete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osinformato">
    <w:name w:val="Plain Text"/>
    <w:basedOn w:val="Normal"/>
    <w:semiHidden/>
    <w:rsid w:val="00097958"/>
    <w:rPr>
      <w:rFonts w:ascii="Courier New" w:eastAsia="BatangChe" w:hAnsi="Courier New"/>
      <w:sz w:val="24"/>
      <w:szCs w:val="24"/>
    </w:rPr>
  </w:style>
  <w:style w:type="character" w:customStyle="1" w:styleId="CharChar">
    <w:name w:val="Char Char"/>
    <w:basedOn w:val="Fuentedeprrafopredeter"/>
    <w:rsid w:val="00097958"/>
    <w:rPr>
      <w:rFonts w:ascii="Courier New" w:eastAsia="BatangChe" w:hAnsi="Courier New"/>
      <w:sz w:val="24"/>
      <w:szCs w:val="24"/>
      <w:lang w:val="en-US" w:eastAsia="en-US"/>
    </w:rPr>
  </w:style>
  <w:style w:type="paragraph" w:styleId="Subttulo">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Textoennegrita">
    <w:name w:val="Strong"/>
    <w:basedOn w:val="Fuentedeprrafopredeter"/>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nfasis">
    <w:name w:val="Emphasis"/>
    <w:basedOn w:val="Fuentedeprrafopredeter"/>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uentedeprrafopredeter"/>
    <w:rsid w:val="007017C6"/>
  </w:style>
  <w:style w:type="character" w:customStyle="1" w:styleId="longtext">
    <w:name w:val="long_text"/>
    <w:basedOn w:val="Fuentedeprrafopredeter"/>
    <w:rsid w:val="004947B9"/>
  </w:style>
  <w:style w:type="character" w:customStyle="1" w:styleId="apple-style-span">
    <w:name w:val="apple-style-span"/>
    <w:basedOn w:val="Fuentedeprrafopredeter"/>
    <w:rsid w:val="00C35B8F"/>
  </w:style>
  <w:style w:type="character" w:customStyle="1" w:styleId="apple-converted-space">
    <w:name w:val="apple-converted-space"/>
    <w:basedOn w:val="Fuentedeprrafopredeter"/>
    <w:rsid w:val="00C35B8F"/>
  </w:style>
  <w:style w:type="paragraph" w:styleId="HTMLconformatoprevio">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rafodelista">
    <w:name w:val="List Paragraph"/>
    <w:basedOn w:val="Normal"/>
    <w:link w:val="PrrafodelistaCar"/>
    <w:uiPriority w:val="34"/>
    <w:qFormat/>
    <w:rsid w:val="00C35B8F"/>
    <w:pPr>
      <w:spacing w:after="200" w:line="276" w:lineRule="auto"/>
      <w:ind w:left="720"/>
      <w:contextualSpacing/>
    </w:pPr>
    <w:rPr>
      <w:rFonts w:ascii="Calibri" w:hAnsi="Calibri"/>
      <w:sz w:val="22"/>
      <w:szCs w:val="22"/>
      <w:lang w:val="en-GB" w:eastAsia="en-GB"/>
    </w:rPr>
  </w:style>
  <w:style w:type="paragraph" w:styleId="Sinespaciado">
    <w:name w:val="No Spacing"/>
    <w:qFormat/>
    <w:rsid w:val="00C35B8F"/>
    <w:rPr>
      <w:rFonts w:ascii="Calibri" w:eastAsia="Calibri" w:hAnsi="Calibri"/>
      <w:sz w:val="22"/>
      <w:szCs w:val="22"/>
    </w:rPr>
  </w:style>
  <w:style w:type="character" w:customStyle="1" w:styleId="hps">
    <w:name w:val="hps"/>
    <w:basedOn w:val="Fuentedeprrafopredeter"/>
    <w:rsid w:val="008F05B8"/>
  </w:style>
  <w:style w:type="character" w:customStyle="1" w:styleId="st">
    <w:name w:val="st"/>
    <w:basedOn w:val="Fuentedeprrafopredeter"/>
    <w:rsid w:val="00956EB6"/>
  </w:style>
  <w:style w:type="character" w:customStyle="1" w:styleId="PrrafodelistaCar">
    <w:name w:val="Párrafo de lista Car"/>
    <w:link w:val="Prrafodelista"/>
    <w:uiPriority w:val="34"/>
    <w:rsid w:val="003B61B8"/>
    <w:rPr>
      <w:rFonts w:ascii="Calibri" w:hAnsi="Calibri"/>
      <w:sz w:val="22"/>
      <w:szCs w:val="22"/>
      <w:lang w:val="en-GB" w:eastAsia="en-GB"/>
    </w:rPr>
  </w:style>
  <w:style w:type="paragraph" w:customStyle="1" w:styleId="FigureCaption0">
    <w:name w:val="Figure Caption"/>
    <w:basedOn w:val="Normal"/>
    <w:link w:val="FigureCaptionChar"/>
    <w:rsid w:val="00795873"/>
    <w:pPr>
      <w:autoSpaceDE w:val="0"/>
      <w:autoSpaceDN w:val="0"/>
      <w:jc w:val="both"/>
    </w:pPr>
    <w:rPr>
      <w:rFonts w:eastAsia="PMingLiU"/>
      <w:sz w:val="16"/>
      <w:szCs w:val="16"/>
    </w:rPr>
  </w:style>
  <w:style w:type="character" w:customStyle="1" w:styleId="FigureCaptionChar">
    <w:name w:val="Figure Caption Char"/>
    <w:link w:val="FigureCaption0"/>
    <w:rsid w:val="00795873"/>
    <w:rPr>
      <w:rFonts w:eastAsia="PMingLiU"/>
      <w:sz w:val="16"/>
      <w:szCs w:val="16"/>
    </w:rPr>
  </w:style>
  <w:style w:type="paragraph" w:customStyle="1" w:styleId="Biography">
    <w:name w:val="Biography"/>
    <w:basedOn w:val="Textosinformato"/>
    <w:rsid w:val="001E01D8"/>
    <w:pPr>
      <w:spacing w:before="240"/>
      <w:jc w:val="both"/>
    </w:pPr>
    <w:rPr>
      <w:rFonts w:ascii="Times New Roman" w:eastAsia="Times New Roman" w:hAnsi="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dx.doi.org/10.1016/j.jclepro.2016.10.157" TargetMode="External"/><Relationship Id="rId26" Type="http://schemas.openxmlformats.org/officeDocument/2006/relationships/image" Target="media/image8.jpeg"/><Relationship Id="rId21" Type="http://schemas.openxmlformats.org/officeDocument/2006/relationships/hyperlink" Target="https://www.dane.gov.co/files/censos/presentaciones/poblacion_adulto_mayor.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dx.doi.org/10.1016/j.energy.2016.10.068" TargetMode="External"/><Relationship Id="rId25" Type="http://schemas.openxmlformats.org/officeDocument/2006/relationships/image" Target="media/image7.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16/j.trd.2016.08.009" TargetMode="External"/><Relationship Id="rId20" Type="http://schemas.openxmlformats.org/officeDocument/2006/relationships/hyperlink" Target="http://dx.doi.org/10.1016/j.jclepro.2014.09.082"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eia.gov/tools/faqs/faq.php?id=73&amp;t=1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16/j.jclepro.2016.10.153" TargetMode="External"/><Relationship Id="rId23" Type="http://schemas.openxmlformats.org/officeDocument/2006/relationships/hyperlink" Target="https://www.iea.org/media/workshops/2013/egrdmobility/Nylund_Vehicle_energy_efficiencies.pdf" TargetMode="External"/><Relationship Id="rId28" Type="http://schemas.openxmlformats.org/officeDocument/2006/relationships/image" Target="media/image10.jpe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dx.doi.org/10.1016/j.energy.2016.06.09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016/j.jclepro.2016.10.157" TargetMode="External"/><Relationship Id="rId22" Type="http://schemas.openxmlformats.org/officeDocument/2006/relationships/hyperlink" Target="https://www.dane.gov.co/files/censo2005/PERFIL_PDF_CG2005/11001T7T000.PDF" TargetMode="External"/><Relationship Id="rId27" Type="http://schemas.openxmlformats.org/officeDocument/2006/relationships/image" Target="media/image9.jpeg"/><Relationship Id="rId30" Type="http://schemas.openxmlformats.org/officeDocument/2006/relationships/image" Target="media/image12.jp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54194-DA4F-4715-BC58-2654E404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3969</Words>
  <Characters>21831</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Andres Julian Aristizabal Cardona</cp:lastModifiedBy>
  <cp:revision>1</cp:revision>
  <cp:lastPrinted>2004-12-30T03:27:00Z</cp:lastPrinted>
  <dcterms:created xsi:type="dcterms:W3CDTF">2017-11-05T14:20:00Z</dcterms:created>
  <dcterms:modified xsi:type="dcterms:W3CDTF">2017-11-07T18:46:00Z</dcterms:modified>
</cp:coreProperties>
</file>